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0A91A9B" w:rsidR="0076699A" w:rsidRPr="00795C6C" w:rsidRDefault="0068113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" w:eastAsia="Montserrat" w:hAnsi="Montserrat" w:cs="Montserrat"/>
          <w:b/>
          <w:color w:val="000000"/>
          <w:sz w:val="24"/>
          <w:szCs w:val="24"/>
          <w:lang w:val="en-GB"/>
        </w:rPr>
      </w:pPr>
      <w:r w:rsidRPr="00795C6C">
        <w:rPr>
          <w:rFonts w:ascii="Montserrat" w:eastAsia="Montserrat" w:hAnsi="Montserrat" w:cs="Montserrat"/>
          <w:b/>
          <w:color w:val="000000"/>
          <w:sz w:val="24"/>
          <w:szCs w:val="24"/>
          <w:lang w:val="en-GB"/>
        </w:rPr>
        <w:t xml:space="preserve">Osservatorio Blockchain &amp; Web3 </w:t>
      </w:r>
    </w:p>
    <w:p w14:paraId="00000002" w14:textId="77777777" w:rsidR="0076699A" w:rsidRPr="00795C6C" w:rsidRDefault="0076699A">
      <w:pPr>
        <w:rPr>
          <w:lang w:val="en-GB"/>
        </w:rPr>
      </w:pPr>
    </w:p>
    <w:p w14:paraId="00000003" w14:textId="32F1C9D2" w:rsidR="0076699A" w:rsidRPr="00795C6C" w:rsidRDefault="000B17DD">
      <w:pPr>
        <w:pStyle w:val="Title"/>
        <w:rPr>
          <w:lang w:val="en-GB"/>
        </w:rPr>
      </w:pPr>
      <w:r w:rsidRPr="00795C6C">
        <w:rPr>
          <w:lang w:val="en-GB"/>
        </w:rPr>
        <w:t xml:space="preserve">Web3: </w:t>
      </w:r>
      <w:r w:rsidR="00D52E1B">
        <w:rPr>
          <w:lang w:val="en-GB"/>
        </w:rPr>
        <w:t>W</w:t>
      </w:r>
      <w:r w:rsidR="002D4FBC">
        <w:rPr>
          <w:lang w:val="en-GB"/>
        </w:rPr>
        <w:t xml:space="preserve">hy, </w:t>
      </w:r>
      <w:r w:rsidR="00D52E1B">
        <w:rPr>
          <w:lang w:val="en-GB"/>
        </w:rPr>
        <w:t>W</w:t>
      </w:r>
      <w:r w:rsidR="002D4FBC">
        <w:rPr>
          <w:lang w:val="en-GB"/>
        </w:rPr>
        <w:t xml:space="preserve">hat and </w:t>
      </w:r>
      <w:r w:rsidR="00D52E1B">
        <w:rPr>
          <w:lang w:val="en-GB"/>
        </w:rPr>
        <w:t>W</w:t>
      </w:r>
      <w:r w:rsidR="002D4FBC">
        <w:rPr>
          <w:lang w:val="en-GB"/>
        </w:rPr>
        <w:t>hen</w:t>
      </w:r>
      <w:r w:rsidR="008D750B">
        <w:rPr>
          <w:lang w:val="en-GB"/>
        </w:rPr>
        <w:t>?</w:t>
      </w:r>
    </w:p>
    <w:p w14:paraId="00000004" w14:textId="77777777" w:rsidR="0076699A" w:rsidRPr="00795C6C" w:rsidRDefault="0076699A">
      <w:pPr>
        <w:rPr>
          <w:lang w:val="en-GB"/>
        </w:rPr>
      </w:pPr>
    </w:p>
    <w:p w14:paraId="00000005" w14:textId="77777777" w:rsidR="0076699A" w:rsidRPr="00795C6C" w:rsidRDefault="0076699A">
      <w:pPr>
        <w:rPr>
          <w:lang w:val="en-GB"/>
        </w:rPr>
      </w:pPr>
    </w:p>
    <w:p w14:paraId="00000006" w14:textId="41F98B08" w:rsidR="0076699A" w:rsidRPr="002D4FBC" w:rsidRDefault="000B17DD">
      <w:pPr>
        <w:rPr>
          <w:lang w:val="en-US"/>
        </w:rPr>
      </w:pPr>
      <w:proofErr w:type="spellStart"/>
      <w:r w:rsidRPr="002D4FBC">
        <w:rPr>
          <w:lang w:val="en-US"/>
        </w:rPr>
        <w:t>Gennaio</w:t>
      </w:r>
      <w:proofErr w:type="spellEnd"/>
      <w:r w:rsidRPr="002D4FBC">
        <w:rPr>
          <w:lang w:val="en-US"/>
        </w:rPr>
        <w:t xml:space="preserve"> 202</w:t>
      </w:r>
      <w:r w:rsidR="002D4FBC">
        <w:rPr>
          <w:lang w:val="en-US"/>
        </w:rPr>
        <w:t>4</w:t>
      </w:r>
    </w:p>
    <w:p w14:paraId="00000007" w14:textId="77777777" w:rsidR="0076699A" w:rsidRPr="002D4FBC" w:rsidRDefault="0076699A">
      <w:pPr>
        <w:rPr>
          <w:lang w:val="en-US"/>
        </w:rPr>
      </w:pPr>
    </w:p>
    <w:p w14:paraId="00000008" w14:textId="77777777" w:rsidR="0076699A" w:rsidRPr="002D4FBC" w:rsidRDefault="0076699A">
      <w:pPr>
        <w:rPr>
          <w:lang w:val="en-US"/>
        </w:rPr>
      </w:pPr>
    </w:p>
    <w:p w14:paraId="00000009" w14:textId="77777777" w:rsidR="0076699A" w:rsidRPr="002D4FBC" w:rsidRDefault="0076699A">
      <w:pPr>
        <w:rPr>
          <w:lang w:val="en-US"/>
        </w:rPr>
      </w:pPr>
    </w:p>
    <w:sdt>
      <w:sdtPr>
        <w:rPr>
          <w:b w:val="0"/>
          <w:noProof w:val="0"/>
          <w:color w:val="auto"/>
          <w:sz w:val="20"/>
        </w:rPr>
        <w:id w:val="-1745787447"/>
        <w:docPartObj>
          <w:docPartGallery w:val="Table of Contents"/>
          <w:docPartUnique/>
        </w:docPartObj>
      </w:sdtPr>
      <w:sdtContent>
        <w:p w14:paraId="7CF250F5" w14:textId="5886EB21" w:rsidR="00505ABD" w:rsidRDefault="000B17DD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55273383" w:history="1">
            <w:r w:rsidR="00505ABD" w:rsidRPr="006642E5">
              <w:rPr>
                <w:rStyle w:val="Hyperlink"/>
              </w:rPr>
              <w:t>Introduzione</w:t>
            </w:r>
            <w:r w:rsidR="00505ABD">
              <w:rPr>
                <w:webHidden/>
              </w:rPr>
              <w:tab/>
            </w:r>
            <w:r w:rsidR="00505ABD">
              <w:rPr>
                <w:webHidden/>
              </w:rPr>
              <w:fldChar w:fldCharType="begin"/>
            </w:r>
            <w:r w:rsidR="00505ABD">
              <w:rPr>
                <w:webHidden/>
              </w:rPr>
              <w:instrText xml:space="preserve"> PAGEREF _Toc155273383 \h </w:instrText>
            </w:r>
            <w:r w:rsidR="00505ABD">
              <w:rPr>
                <w:webHidden/>
              </w:rPr>
            </w:r>
            <w:r w:rsidR="00505ABD">
              <w:rPr>
                <w:webHidden/>
              </w:rPr>
              <w:fldChar w:fldCharType="separate"/>
            </w:r>
            <w:r w:rsidR="00505ABD">
              <w:rPr>
                <w:webHidden/>
              </w:rPr>
              <w:t>2</w:t>
            </w:r>
            <w:r w:rsidR="00505ABD">
              <w:rPr>
                <w:webHidden/>
              </w:rPr>
              <w:fldChar w:fldCharType="end"/>
            </w:r>
          </w:hyperlink>
        </w:p>
        <w:p w14:paraId="7718C987" w14:textId="22B6171C" w:rsidR="00505AB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55273384" w:history="1">
            <w:r w:rsidR="00505ABD" w:rsidRPr="006642E5">
              <w:rPr>
                <w:rStyle w:val="Hyperlink"/>
              </w:rPr>
              <w:t>Executive Summary</w:t>
            </w:r>
            <w:r w:rsidR="00505ABD">
              <w:rPr>
                <w:webHidden/>
              </w:rPr>
              <w:tab/>
            </w:r>
            <w:r w:rsidR="00505ABD">
              <w:rPr>
                <w:webHidden/>
              </w:rPr>
              <w:fldChar w:fldCharType="begin"/>
            </w:r>
            <w:r w:rsidR="00505ABD">
              <w:rPr>
                <w:webHidden/>
              </w:rPr>
              <w:instrText xml:space="preserve"> PAGEREF _Toc155273384 \h </w:instrText>
            </w:r>
            <w:r w:rsidR="00505ABD">
              <w:rPr>
                <w:webHidden/>
              </w:rPr>
            </w:r>
            <w:r w:rsidR="00505ABD">
              <w:rPr>
                <w:webHidden/>
              </w:rPr>
              <w:fldChar w:fldCharType="separate"/>
            </w:r>
            <w:r w:rsidR="00505ABD">
              <w:rPr>
                <w:webHidden/>
              </w:rPr>
              <w:t>3</w:t>
            </w:r>
            <w:r w:rsidR="00505ABD">
              <w:rPr>
                <w:webHidden/>
              </w:rPr>
              <w:fldChar w:fldCharType="end"/>
            </w:r>
          </w:hyperlink>
        </w:p>
        <w:p w14:paraId="0CF829EC" w14:textId="02958261" w:rsidR="00505ABD" w:rsidRDefault="00000000">
          <w:pPr>
            <w:pStyle w:val="TOC2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55273385" w:history="1">
            <w:r w:rsidR="00505ABD" w:rsidRPr="006642E5">
              <w:rPr>
                <w:rStyle w:val="Hyperlink"/>
                <w:noProof/>
              </w:rPr>
              <w:t>Internet of Value: il percorso normativo e l’interesse per la programmabilità</w:t>
            </w:r>
            <w:r w:rsidR="00505ABD">
              <w:rPr>
                <w:noProof/>
                <w:webHidden/>
              </w:rPr>
              <w:tab/>
            </w:r>
            <w:r w:rsidR="00505ABD">
              <w:rPr>
                <w:noProof/>
                <w:webHidden/>
              </w:rPr>
              <w:fldChar w:fldCharType="begin"/>
            </w:r>
            <w:r w:rsidR="00505ABD">
              <w:rPr>
                <w:noProof/>
                <w:webHidden/>
              </w:rPr>
              <w:instrText xml:space="preserve"> PAGEREF _Toc155273385 \h </w:instrText>
            </w:r>
            <w:r w:rsidR="00505ABD">
              <w:rPr>
                <w:noProof/>
                <w:webHidden/>
              </w:rPr>
            </w:r>
            <w:r w:rsidR="00505ABD">
              <w:rPr>
                <w:noProof/>
                <w:webHidden/>
              </w:rPr>
              <w:fldChar w:fldCharType="separate"/>
            </w:r>
            <w:r w:rsidR="00505ABD">
              <w:rPr>
                <w:noProof/>
                <w:webHidden/>
              </w:rPr>
              <w:t>4</w:t>
            </w:r>
            <w:r w:rsidR="00505ABD">
              <w:rPr>
                <w:noProof/>
                <w:webHidden/>
              </w:rPr>
              <w:fldChar w:fldCharType="end"/>
            </w:r>
          </w:hyperlink>
        </w:p>
        <w:p w14:paraId="276CE92D" w14:textId="1B98814E" w:rsidR="00505ABD" w:rsidRDefault="00000000">
          <w:pPr>
            <w:pStyle w:val="TOC2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55273386" w:history="1">
            <w:r w:rsidR="00505ABD" w:rsidRPr="006642E5">
              <w:rPr>
                <w:rStyle w:val="Hyperlink"/>
                <w:noProof/>
              </w:rPr>
              <w:t>Blockchain for business: la spinta della tokenizzazione</w:t>
            </w:r>
            <w:r w:rsidR="00505ABD">
              <w:rPr>
                <w:noProof/>
                <w:webHidden/>
              </w:rPr>
              <w:tab/>
            </w:r>
            <w:r w:rsidR="00505ABD">
              <w:rPr>
                <w:noProof/>
                <w:webHidden/>
              </w:rPr>
              <w:fldChar w:fldCharType="begin"/>
            </w:r>
            <w:r w:rsidR="00505ABD">
              <w:rPr>
                <w:noProof/>
                <w:webHidden/>
              </w:rPr>
              <w:instrText xml:space="preserve"> PAGEREF _Toc155273386 \h </w:instrText>
            </w:r>
            <w:r w:rsidR="00505ABD">
              <w:rPr>
                <w:noProof/>
                <w:webHidden/>
              </w:rPr>
            </w:r>
            <w:r w:rsidR="00505ABD">
              <w:rPr>
                <w:noProof/>
                <w:webHidden/>
              </w:rPr>
              <w:fldChar w:fldCharType="separate"/>
            </w:r>
            <w:r w:rsidR="00505ABD">
              <w:rPr>
                <w:noProof/>
                <w:webHidden/>
              </w:rPr>
              <w:t>5</w:t>
            </w:r>
            <w:r w:rsidR="00505ABD">
              <w:rPr>
                <w:noProof/>
                <w:webHidden/>
              </w:rPr>
              <w:fldChar w:fldCharType="end"/>
            </w:r>
          </w:hyperlink>
        </w:p>
        <w:p w14:paraId="183A1DCB" w14:textId="3E8FCE0F" w:rsidR="00505ABD" w:rsidRDefault="00000000">
          <w:pPr>
            <w:pStyle w:val="TOC2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55273387" w:history="1">
            <w:r w:rsidR="00505ABD" w:rsidRPr="006642E5">
              <w:rPr>
                <w:rStyle w:val="Hyperlink"/>
                <w:noProof/>
              </w:rPr>
              <w:t>Decentralized web: la crescente maturità e le prospettive di lungo periodo</w:t>
            </w:r>
            <w:r w:rsidR="00505ABD">
              <w:rPr>
                <w:noProof/>
                <w:webHidden/>
              </w:rPr>
              <w:tab/>
            </w:r>
            <w:r w:rsidR="00505ABD">
              <w:rPr>
                <w:noProof/>
                <w:webHidden/>
              </w:rPr>
              <w:fldChar w:fldCharType="begin"/>
            </w:r>
            <w:r w:rsidR="00505ABD">
              <w:rPr>
                <w:noProof/>
                <w:webHidden/>
              </w:rPr>
              <w:instrText xml:space="preserve"> PAGEREF _Toc155273387 \h </w:instrText>
            </w:r>
            <w:r w:rsidR="00505ABD">
              <w:rPr>
                <w:noProof/>
                <w:webHidden/>
              </w:rPr>
            </w:r>
            <w:r w:rsidR="00505ABD">
              <w:rPr>
                <w:noProof/>
                <w:webHidden/>
              </w:rPr>
              <w:fldChar w:fldCharType="separate"/>
            </w:r>
            <w:r w:rsidR="00505ABD">
              <w:rPr>
                <w:noProof/>
                <w:webHidden/>
              </w:rPr>
              <w:t>6</w:t>
            </w:r>
            <w:r w:rsidR="00505ABD">
              <w:rPr>
                <w:noProof/>
                <w:webHidden/>
              </w:rPr>
              <w:fldChar w:fldCharType="end"/>
            </w:r>
          </w:hyperlink>
        </w:p>
        <w:p w14:paraId="0895C24D" w14:textId="6DEBA03A" w:rsidR="00505ABD" w:rsidRDefault="00000000">
          <w:pPr>
            <w:pStyle w:val="TOC2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55273388" w:history="1">
            <w:r w:rsidR="00505ABD" w:rsidRPr="006642E5">
              <w:rPr>
                <w:rStyle w:val="Hyperlink"/>
                <w:noProof/>
              </w:rPr>
              <w:t>Il mercato italiano: l’adozione rimane stabile tra aziende e consumatori</w:t>
            </w:r>
            <w:r w:rsidR="00505ABD">
              <w:rPr>
                <w:noProof/>
                <w:webHidden/>
              </w:rPr>
              <w:tab/>
            </w:r>
            <w:r w:rsidR="00505ABD">
              <w:rPr>
                <w:noProof/>
                <w:webHidden/>
              </w:rPr>
              <w:fldChar w:fldCharType="begin"/>
            </w:r>
            <w:r w:rsidR="00505ABD">
              <w:rPr>
                <w:noProof/>
                <w:webHidden/>
              </w:rPr>
              <w:instrText xml:space="preserve"> PAGEREF _Toc155273388 \h </w:instrText>
            </w:r>
            <w:r w:rsidR="00505ABD">
              <w:rPr>
                <w:noProof/>
                <w:webHidden/>
              </w:rPr>
            </w:r>
            <w:r w:rsidR="00505ABD">
              <w:rPr>
                <w:noProof/>
                <w:webHidden/>
              </w:rPr>
              <w:fldChar w:fldCharType="separate"/>
            </w:r>
            <w:r w:rsidR="00505ABD">
              <w:rPr>
                <w:noProof/>
                <w:webHidden/>
              </w:rPr>
              <w:t>7</w:t>
            </w:r>
            <w:r w:rsidR="00505ABD">
              <w:rPr>
                <w:noProof/>
                <w:webHidden/>
              </w:rPr>
              <w:fldChar w:fldCharType="end"/>
            </w:r>
          </w:hyperlink>
        </w:p>
        <w:p w14:paraId="00000011" w14:textId="744BB75F" w:rsidR="0076699A" w:rsidRDefault="000B17DD">
          <w:r>
            <w:fldChar w:fldCharType="end"/>
          </w:r>
        </w:p>
      </w:sdtContent>
    </w:sdt>
    <w:p w14:paraId="00000012" w14:textId="77777777" w:rsidR="0076699A" w:rsidRDefault="0076699A">
      <w:pPr>
        <w:rPr>
          <w:sz w:val="16"/>
          <w:szCs w:val="16"/>
        </w:rPr>
      </w:pPr>
    </w:p>
    <w:p w14:paraId="00000025" w14:textId="295500BF" w:rsidR="0076699A" w:rsidRDefault="000B17DD" w:rsidP="006220A1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B2A42F" wp14:editId="4451728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5659" y="3780000"/>
                          <a:ext cx="666068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5C5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" o:spid="_x0000_s1026" type="#_x0000_t32" style="position:absolute;margin-left:0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" strokecolor="#002e54 [3204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0000026" w14:textId="77777777" w:rsidR="0076699A" w:rsidRDefault="0076699A">
      <w:pPr>
        <w:rPr>
          <w:sz w:val="16"/>
          <w:szCs w:val="16"/>
        </w:rPr>
      </w:pPr>
    </w:p>
    <w:p w14:paraId="00000027" w14:textId="77777777" w:rsidR="0076699A" w:rsidRDefault="000B17DD">
      <w:r>
        <w:br w:type="page"/>
      </w:r>
    </w:p>
    <w:p w14:paraId="00000028" w14:textId="77777777" w:rsidR="0076699A" w:rsidRDefault="000B17DD">
      <w:pPr>
        <w:pStyle w:val="Heading1"/>
      </w:pPr>
      <w:bookmarkStart w:id="0" w:name="_Toc155273383"/>
      <w:r>
        <w:lastRenderedPageBreak/>
        <w:t>Introduzione</w:t>
      </w:r>
      <w:bookmarkEnd w:id="0"/>
    </w:p>
    <w:p w14:paraId="00000029" w14:textId="77777777" w:rsidR="0076699A" w:rsidRDefault="0076699A"/>
    <w:p w14:paraId="57280C5D" w14:textId="304E21B2" w:rsidR="00C7617B" w:rsidRPr="00C7617B" w:rsidRDefault="00C7617B" w:rsidP="00D57BDB">
      <w:pPr>
        <w:jc w:val="both"/>
      </w:pPr>
      <w:r w:rsidRPr="00C7617B">
        <w:t xml:space="preserve">Il 2023 </w:t>
      </w:r>
      <w:r w:rsidR="002404BB">
        <w:t>è stato un anno di forte trasformazione</w:t>
      </w:r>
      <w:r w:rsidRPr="00C7617B">
        <w:t xml:space="preserve"> </w:t>
      </w:r>
      <w:r w:rsidR="006220A1">
        <w:t>per il mondo web3</w:t>
      </w:r>
      <w:r w:rsidRPr="00C7617B">
        <w:t xml:space="preserve">, partendo </w:t>
      </w:r>
      <w:r w:rsidR="002404BB">
        <w:t>dal</w:t>
      </w:r>
      <w:r w:rsidRPr="00C7617B">
        <w:t>l’ingombrante eredità di instabilità e scandali, come quelli di Terra</w:t>
      </w:r>
      <w:r w:rsidR="00F77B5C">
        <w:t>-</w:t>
      </w:r>
      <w:r w:rsidRPr="00C7617B">
        <w:t xml:space="preserve">Luna ed FTX, che hanno </w:t>
      </w:r>
      <w:r w:rsidR="002404BB">
        <w:t>messo in discussione</w:t>
      </w:r>
      <w:r w:rsidR="002404BB" w:rsidRPr="00C7617B">
        <w:t xml:space="preserve"> </w:t>
      </w:r>
      <w:r w:rsidRPr="00C7617B">
        <w:t xml:space="preserve">la fiducia del pubblico e sollevato interrogativi critici. Nonostante questi </w:t>
      </w:r>
      <w:r w:rsidR="002404BB">
        <w:t>problemi</w:t>
      </w:r>
      <w:r w:rsidRPr="00C7617B">
        <w:t xml:space="preserve">, </w:t>
      </w:r>
      <w:r w:rsidR="002404BB">
        <w:t xml:space="preserve">o proprio grazie alla necessità di affrontarli e superarli, quest’anno può essere caratterizzato come </w:t>
      </w:r>
      <w:r w:rsidRPr="00C7617B">
        <w:t>una fase di purificazione e maturazione</w:t>
      </w:r>
      <w:r w:rsidR="002404BB">
        <w:t>:</w:t>
      </w:r>
      <w:r w:rsidRPr="00C7617B">
        <w:t xml:space="preserve"> </w:t>
      </w:r>
      <w:r w:rsidR="002404BB">
        <w:t>si sono ridotte</w:t>
      </w:r>
      <w:r w:rsidR="002404BB" w:rsidRPr="00C7617B">
        <w:t xml:space="preserve"> </w:t>
      </w:r>
      <w:r w:rsidRPr="00C7617B">
        <w:t xml:space="preserve">molte delle </w:t>
      </w:r>
      <w:r w:rsidR="002404BB">
        <w:t xml:space="preserve">discutibili </w:t>
      </w:r>
      <w:r w:rsidRPr="00C7617B">
        <w:t>pratiche speculative</w:t>
      </w:r>
      <w:r w:rsidR="002404BB">
        <w:t>,</w:t>
      </w:r>
      <w:r w:rsidR="00375E74">
        <w:t xml:space="preserve"> </w:t>
      </w:r>
      <w:r w:rsidR="002404BB">
        <w:t>è stata promossa</w:t>
      </w:r>
      <w:r w:rsidRPr="00C7617B">
        <w:t xml:space="preserve"> un'evoluzione più consapevole della tecnologia blockchain, </w:t>
      </w:r>
      <w:r w:rsidR="002404BB">
        <w:t>è stata data</w:t>
      </w:r>
      <w:r w:rsidRPr="00C7617B">
        <w:t xml:space="preserve"> maggiore attenzione agli aspetti etici e all</w:t>
      </w:r>
      <w:r w:rsidR="002404BB">
        <w:t>o sviluppo</w:t>
      </w:r>
      <w:r w:rsidRPr="00C7617B">
        <w:t xml:space="preserve"> sostenib</w:t>
      </w:r>
      <w:r w:rsidR="002404BB">
        <w:t>ile</w:t>
      </w:r>
      <w:r w:rsidRPr="00C7617B">
        <w:t>.</w:t>
      </w:r>
    </w:p>
    <w:p w14:paraId="366F2361" w14:textId="77777777" w:rsidR="00C7617B" w:rsidRPr="00C7617B" w:rsidRDefault="00C7617B" w:rsidP="00D57BDB">
      <w:pPr>
        <w:jc w:val="both"/>
      </w:pPr>
    </w:p>
    <w:p w14:paraId="60AD00AD" w14:textId="2A4FD9AB" w:rsidR="00C7617B" w:rsidRPr="00C7617B" w:rsidRDefault="00C7617B" w:rsidP="00D57BDB">
      <w:pPr>
        <w:jc w:val="both"/>
      </w:pPr>
      <w:r w:rsidRPr="00C7617B">
        <w:t>Nel 2023 ha continuato a farsi strada l’idea di web3, ossia di un’evoluzione dell’attuale modello di applicazioni interconnesse e fruibili tramite internet. Partendo da una crescente consapevolezza di alcuni limiti fondamentali del web “attuale”, tra cui spiccano l’opacità degli algoritmi, la concentrazione crescente di forme di potere e arbitrio e la scarsa interoperabilità delle applicazioni, le tecnologie blockchain propongono un paradigma alternativo di esecuzione che assicura la trasparenza degli algoritmi, consente di definire asset (i token) e identità digitali di cui gli utenti possono disporre autonomamente e posizion</w:t>
      </w:r>
      <w:r>
        <w:t>a</w:t>
      </w:r>
      <w:r w:rsidRPr="00C7617B">
        <w:t xml:space="preserve"> l’interoperabilità delle applicazioni a un livello tecnologico fondamentale e imprescindibile. Questa evoluzione impone però la ridefinizione di gran parte dei modelli di business precedenti</w:t>
      </w:r>
      <w:r>
        <w:t>.</w:t>
      </w:r>
    </w:p>
    <w:p w14:paraId="67FFCEC7" w14:textId="77777777" w:rsidR="00C7617B" w:rsidRPr="00C7617B" w:rsidRDefault="00C7617B" w:rsidP="00D57BDB">
      <w:pPr>
        <w:jc w:val="both"/>
      </w:pPr>
    </w:p>
    <w:p w14:paraId="5BAC91A4" w14:textId="3BD1AF6F" w:rsidR="00C7617B" w:rsidRPr="00C7617B" w:rsidRDefault="006B1F00" w:rsidP="00D57BDB">
      <w:pPr>
        <w:jc w:val="both"/>
      </w:pPr>
      <w:r w:rsidRPr="006B1F00">
        <w:t>Nonostante la diminuita attenzione mediatica sulle performance finanziarie di criptovalute e NFT rispetto al 2021-</w:t>
      </w:r>
      <w:r>
        <w:t>2022</w:t>
      </w:r>
      <w:r w:rsidR="00C7617B" w:rsidRPr="00C7617B">
        <w:t xml:space="preserve">, sono maturati significativi progressi tecnologici, regolamentari e applicativi. Nel campo delle applicazioni, particolare slancio ha avuto il fenomeno della tokenizzazione, cioè la rappresentazione di asset reali e monetari istituzionali tramite sistemi blockchain. Aziende di rilievo come Visa, Mastercard e PayPal hanno integrato nei loro servizi gli </w:t>
      </w:r>
      <w:r w:rsidR="00C7617B" w:rsidRPr="00F77B5C">
        <w:t>stablecoin</w:t>
      </w:r>
      <w:r w:rsidR="00C7617B" w:rsidRPr="00C7617B">
        <w:t xml:space="preserve">, cioè denaro fiat </w:t>
      </w:r>
      <w:proofErr w:type="spellStart"/>
      <w:r w:rsidR="00C7617B" w:rsidRPr="00C7617B">
        <w:t>tokenizzato</w:t>
      </w:r>
      <w:proofErr w:type="spellEnd"/>
      <w:r w:rsidR="00C7617B" w:rsidRPr="00C7617B">
        <w:t>, abilitando nuove applicazioni e modalità di trasferimento. La spinta a</w:t>
      </w:r>
      <w:r>
        <w:t xml:space="preserve">lla tokenizzazione </w:t>
      </w:r>
      <w:r w:rsidR="00C7617B" w:rsidRPr="00C7617B">
        <w:t xml:space="preserve">ha inoltre interessato sempre di più i cosiddetti Real World Assets (RWA), </w:t>
      </w:r>
      <w:r>
        <w:t>ovvero</w:t>
      </w:r>
      <w:r w:rsidR="00C7617B" w:rsidRPr="00C7617B">
        <w:t xml:space="preserve"> asset finanziari “tradizionali” e persino proprietà di beni fisici</w:t>
      </w:r>
      <w:r>
        <w:t>. Questa tendenza è</w:t>
      </w:r>
      <w:r w:rsidR="00C7617B" w:rsidRPr="00C7617B">
        <w:t xml:space="preserve"> guidata dalla prospettiva di migliore trasferibilità e di programmabilità, che li rende utilizzabili in applicazioni trasparenti e più inclusive nel contesto del web3.</w:t>
      </w:r>
    </w:p>
    <w:p w14:paraId="065C2942" w14:textId="77777777" w:rsidR="00C7617B" w:rsidRPr="00C7617B" w:rsidRDefault="00C7617B" w:rsidP="00D57BDB">
      <w:pPr>
        <w:jc w:val="both"/>
      </w:pPr>
    </w:p>
    <w:p w14:paraId="18A772F0" w14:textId="726C9809" w:rsidR="00C7617B" w:rsidRPr="00C7617B" w:rsidRDefault="00C7617B" w:rsidP="00D57BDB">
      <w:pPr>
        <w:jc w:val="both"/>
      </w:pPr>
      <w:r w:rsidRPr="00C7617B">
        <w:t xml:space="preserve">Sul fronte regolamentare, mentre l'Europa </w:t>
      </w:r>
      <w:r w:rsidR="002404BB">
        <w:t>ha approvato</w:t>
      </w:r>
      <w:r w:rsidR="002404BB" w:rsidRPr="00C7617B">
        <w:t xml:space="preserve"> </w:t>
      </w:r>
      <w:r w:rsidRPr="00C7617B">
        <w:t xml:space="preserve">il regolamento </w:t>
      </w:r>
      <w:proofErr w:type="spellStart"/>
      <w:r w:rsidRPr="00C7617B">
        <w:t>M</w:t>
      </w:r>
      <w:r w:rsidR="006B1F00">
        <w:t>i</w:t>
      </w:r>
      <w:r w:rsidRPr="00C7617B">
        <w:t>CA</w:t>
      </w:r>
      <w:proofErr w:type="spellEnd"/>
      <w:r w:rsidRPr="00C7617B">
        <w:t xml:space="preserve"> e avvia</w:t>
      </w:r>
      <w:r w:rsidR="002404BB">
        <w:t>to</w:t>
      </w:r>
      <w:r w:rsidRPr="00C7617B">
        <w:t xml:space="preserve"> il DLT </w:t>
      </w:r>
      <w:r w:rsidR="00F77B5C">
        <w:t>P</w:t>
      </w:r>
      <w:r w:rsidRPr="00C7617B">
        <w:t xml:space="preserve">ilot </w:t>
      </w:r>
      <w:r w:rsidR="00F77B5C">
        <w:t>R</w:t>
      </w:r>
      <w:r w:rsidRPr="00C7617B">
        <w:t>egime, dimostrando una certa sensibilità nei confronti delle cr</w:t>
      </w:r>
      <w:r w:rsidR="008B3629">
        <w:t>y</w:t>
      </w:r>
      <w:r w:rsidRPr="00C7617B">
        <w:t>pto-attività e l’intenzione di integrarle nel sistema finanziario esistente in modo controllato, negli Stati Uniti l'atteggiamento è stato in alcuni casi più conflittuale, come per esempio nelle interazioni tra le “cr</w:t>
      </w:r>
      <w:r w:rsidR="008B3629">
        <w:t>y</w:t>
      </w:r>
      <w:r w:rsidRPr="00C7617B">
        <w:t>pto-imprese” e la Securities and Exchange Commission (SEC). Questa divergenza potrebbe valere all’Europa l’opportunità di posizionarsi come leader nella regolamentazione e nell'adozione di queste tecnologie.</w:t>
      </w:r>
    </w:p>
    <w:p w14:paraId="6AF1303C" w14:textId="77777777" w:rsidR="00C7617B" w:rsidRPr="00C7617B" w:rsidRDefault="00C7617B" w:rsidP="00D57BDB">
      <w:pPr>
        <w:jc w:val="both"/>
      </w:pPr>
    </w:p>
    <w:p w14:paraId="41D45FD7" w14:textId="4B119405" w:rsidR="00C7617B" w:rsidRPr="00C7617B" w:rsidRDefault="00C7617B" w:rsidP="00D57BDB">
      <w:pPr>
        <w:jc w:val="both"/>
      </w:pPr>
      <w:r w:rsidRPr="00C7617B">
        <w:t xml:space="preserve">Infine, non sono mancate evoluzioni importanti anche nelle tecnologie di base. In particolare, il campo della crittografia delle prove a conoscenza zero (Zero-Knowledge </w:t>
      </w:r>
      <w:proofErr w:type="spellStart"/>
      <w:r w:rsidRPr="00C7617B">
        <w:t>Proofs</w:t>
      </w:r>
      <w:proofErr w:type="spellEnd"/>
      <w:r w:rsidRPr="00C7617B">
        <w:t xml:space="preserve">, ZKP) ha visto sviluppi sorprendenti, stimolati anche dalla prospettiva di garantire alle applicazioni web3 nuovi livelli di </w:t>
      </w:r>
      <w:r w:rsidR="002404BB">
        <w:t>prestazione</w:t>
      </w:r>
      <w:r w:rsidRPr="00C7617B">
        <w:t>, privacy e conformità normativa. L'interoperabilità e l'ottimizzazione delle infrastrutture blockchain hanno continuato a migliorare, riducendo i costi e ampliando l'accesso e l'uso.</w:t>
      </w:r>
    </w:p>
    <w:p w14:paraId="0B6D801E" w14:textId="77777777" w:rsidR="00C7617B" w:rsidRPr="00C7617B" w:rsidRDefault="00C7617B" w:rsidP="00D57BDB">
      <w:pPr>
        <w:jc w:val="both"/>
      </w:pPr>
    </w:p>
    <w:p w14:paraId="470FEEF8" w14:textId="77213779" w:rsidR="00BF624D" w:rsidRPr="00C7617B" w:rsidRDefault="00C7617B" w:rsidP="00D57BDB">
      <w:pPr>
        <w:jc w:val="both"/>
      </w:pPr>
      <w:r w:rsidRPr="00C7617B">
        <w:t xml:space="preserve">L’anno nuovo, che vede all’orizzonte la riduzione ulteriore dei costi di utilizzo delle piattaforme e l'approvazione possibile e imminente di strumenti finanziari come gli ETF spot, potrebbe segnare un </w:t>
      </w:r>
      <w:r w:rsidR="006E6E12">
        <w:t>momento di accelerazione nel percorso di</w:t>
      </w:r>
      <w:r w:rsidRPr="00C7617B">
        <w:t xml:space="preserve"> normalizzazione nella percezione di queste tecnologie, abilitando un'adozione più estesa e strutturata. L'attenzione crescente verso gli RWA e il dibattito sulla regolamentazione riflettono una maturazione del settore, delineando un futuro </w:t>
      </w:r>
      <w:r w:rsidR="00D57BDB" w:rsidRPr="00D57BDB">
        <w:t xml:space="preserve">in cui il paradigma del web3 si evidenzia per il suo potenziale trasformativo, estendendosi al di là delle </w:t>
      </w:r>
      <w:r w:rsidR="00D57BDB">
        <w:t xml:space="preserve">mere </w:t>
      </w:r>
      <w:r w:rsidR="00D57BDB" w:rsidRPr="00D57BDB">
        <w:t>dinamiche finanziarie e delle fluttuazioni nel mercato delle criptovalute.</w:t>
      </w:r>
      <w:r w:rsidR="00D57BDB">
        <w:t xml:space="preserve"> </w:t>
      </w:r>
      <w:r w:rsidR="00BF624D" w:rsidRPr="00BF624D">
        <w:t>Il web3 promette, infatti, l'opportunità di plasmare un nuovo modello di Internet caratterizzato da equità e inclusività, basato su concetti chiave come la trasparenza, la decentralizzazione e il coinvolgimento attivo degli utenti</w:t>
      </w:r>
      <w:r w:rsidR="00BF624D">
        <w:t xml:space="preserve">. Ciò potrebbe determinare </w:t>
      </w:r>
      <w:r w:rsidR="00BF624D" w:rsidRPr="00BF624D">
        <w:t xml:space="preserve">un </w:t>
      </w:r>
      <w:r w:rsidR="00BF624D">
        <w:t xml:space="preserve">cambiamento </w:t>
      </w:r>
      <w:r w:rsidR="00BF624D" w:rsidRPr="00BF624D">
        <w:t xml:space="preserve">profondo non solo </w:t>
      </w:r>
      <w:r w:rsidR="00BF624D">
        <w:t xml:space="preserve">da un punto di vista </w:t>
      </w:r>
      <w:r w:rsidR="00BF624D" w:rsidRPr="00BF624D">
        <w:t>economico</w:t>
      </w:r>
      <w:r w:rsidR="00BF624D">
        <w:t>,</w:t>
      </w:r>
      <w:r w:rsidR="00BF624D" w:rsidRPr="00BF624D">
        <w:t xml:space="preserve"> ma anche sociale.</w:t>
      </w:r>
    </w:p>
    <w:p w14:paraId="0000002C" w14:textId="77777777" w:rsidR="0076699A" w:rsidRDefault="0076699A"/>
    <w:p w14:paraId="0000002D" w14:textId="77777777" w:rsidR="0076699A" w:rsidRDefault="000B17DD">
      <w:r>
        <w:t>Alessandro Perego</w:t>
      </w:r>
    </w:p>
    <w:p w14:paraId="0000002E" w14:textId="77777777" w:rsidR="0076699A" w:rsidRDefault="000B17DD">
      <w:r>
        <w:lastRenderedPageBreak/>
        <w:t>Direttore Scientifico, Osservatori Digital Innovation</w:t>
      </w:r>
    </w:p>
    <w:p w14:paraId="0000002F" w14:textId="77777777" w:rsidR="0076699A" w:rsidRDefault="0076699A"/>
    <w:p w14:paraId="00000030" w14:textId="77777777" w:rsidR="0076699A" w:rsidRDefault="000B17DD">
      <w:r>
        <w:t xml:space="preserve">Donatella Sciuto </w:t>
      </w:r>
    </w:p>
    <w:p w14:paraId="00000035" w14:textId="4C704342" w:rsidR="0076699A" w:rsidRDefault="005C6E75">
      <w:r>
        <w:t>Rett</w:t>
      </w:r>
      <w:r w:rsidR="008D750B">
        <w:t>rice</w:t>
      </w:r>
      <w:r>
        <w:t>, Politecnico di Milano</w:t>
      </w:r>
    </w:p>
    <w:p w14:paraId="00000036" w14:textId="77777777" w:rsidR="0076699A" w:rsidRDefault="000B17DD">
      <w:pPr>
        <w:pStyle w:val="Heading1"/>
      </w:pPr>
      <w:bookmarkStart w:id="1" w:name="_Toc155273384"/>
      <w:r>
        <w:t xml:space="preserve">Executive </w:t>
      </w:r>
      <w:proofErr w:type="spellStart"/>
      <w:r>
        <w:t>Summary</w:t>
      </w:r>
      <w:bookmarkEnd w:id="1"/>
      <w:proofErr w:type="spellEnd"/>
    </w:p>
    <w:p w14:paraId="268AE8FC" w14:textId="77777777" w:rsidR="00FB398E" w:rsidRDefault="00FB398E" w:rsidP="009625D2"/>
    <w:p w14:paraId="0A85310A" w14:textId="4B5E7818" w:rsidR="00A1493F" w:rsidRDefault="00B055BB" w:rsidP="00D57BDB">
      <w:pPr>
        <w:jc w:val="both"/>
      </w:pPr>
      <w:r w:rsidRPr="00B055BB">
        <w:t xml:space="preserve">Il 2023, a uno sguardo superficiale, potrebbe </w:t>
      </w:r>
      <w:r w:rsidR="00C840D1">
        <w:t xml:space="preserve">sembrare </w:t>
      </w:r>
      <w:r>
        <w:t xml:space="preserve">essere </w:t>
      </w:r>
      <w:r w:rsidR="00C840D1">
        <w:t>stato</w:t>
      </w:r>
      <w:r w:rsidRPr="00B055BB">
        <w:t xml:space="preserve"> un anno difficile per il settore </w:t>
      </w:r>
      <w:r w:rsidRPr="00CA7019">
        <w:rPr>
          <w:color w:val="FF0000"/>
        </w:rPr>
        <w:t>web3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2251FF">
        <w:t>.</w:t>
      </w:r>
      <w:r w:rsidRPr="00B055BB">
        <w:t xml:space="preserve"> </w:t>
      </w:r>
      <w:r w:rsidR="002251FF">
        <w:t>La</w:t>
      </w:r>
      <w:r w:rsidRPr="00B055BB">
        <w:t xml:space="preserve"> limitata esposizione mediatica e </w:t>
      </w:r>
      <w:r w:rsidR="002251FF">
        <w:t>il</w:t>
      </w:r>
      <w:r w:rsidRPr="00B055BB">
        <w:t xml:space="preserve"> sospetto che la tecnologia blockchain avesse già raggiunto il </w:t>
      </w:r>
      <w:r>
        <w:t>proprio</w:t>
      </w:r>
      <w:r w:rsidRPr="00B055BB">
        <w:t xml:space="preserve"> </w:t>
      </w:r>
      <w:r w:rsidR="002251FF">
        <w:t xml:space="preserve">potenziale hanno contribuito a questa </w:t>
      </w:r>
      <w:r w:rsidR="004B2407">
        <w:t xml:space="preserve">errata </w:t>
      </w:r>
      <w:r w:rsidR="002251FF">
        <w:t>percezione</w:t>
      </w:r>
      <w:r w:rsidR="00A1493F" w:rsidRPr="00A1493F">
        <w:t>.</w:t>
      </w:r>
      <w:r w:rsidR="008D750B">
        <w:t xml:space="preserve"> </w:t>
      </w:r>
      <w:r w:rsidR="002251FF" w:rsidRPr="002251FF">
        <w:t xml:space="preserve">In realtà, dopo un 2022 tumultuoso, caratterizzato prima da un periodo di hype e poi dal susseguirsi di eventi </w:t>
      </w:r>
      <w:r w:rsidR="002251FF">
        <w:t>sfavorevoli</w:t>
      </w:r>
      <w:r w:rsidR="00EA5E95" w:rsidRPr="00EA5E95">
        <w:rPr>
          <w:rStyle w:val="FootnoteReference"/>
        </w:rPr>
        <w:footnoteReference w:id="1"/>
      </w:r>
      <w:r w:rsidR="002251FF" w:rsidRPr="002251FF">
        <w:t>, l’ultimo anno ha evidenziato importanti segnali di consolidamento</w:t>
      </w:r>
      <w:r w:rsidR="004B2407">
        <w:t xml:space="preserve"> per il web3 e le tecnologie blockchain</w:t>
      </w:r>
      <w:r w:rsidR="002251FF" w:rsidRPr="002251FF">
        <w:t>. Si sono registrati numeri di</w:t>
      </w:r>
      <w:r w:rsidR="001D0AF3">
        <w:t xml:space="preserve"> mercato e di</w:t>
      </w:r>
      <w:r w:rsidR="002251FF" w:rsidRPr="002251FF">
        <w:t xml:space="preserve"> </w:t>
      </w:r>
      <w:r w:rsidR="004B2407">
        <w:t xml:space="preserve">adozione </w:t>
      </w:r>
      <w:r w:rsidR="002251FF" w:rsidRPr="002251FF">
        <w:t>incoraggianti</w:t>
      </w:r>
      <w:r w:rsidR="004B2407">
        <w:t>,</w:t>
      </w:r>
      <w:r w:rsidR="002251FF" w:rsidRPr="002251FF">
        <w:t xml:space="preserve"> uno sviluppo positivo del quadro normativo di riferimento</w:t>
      </w:r>
      <w:r w:rsidR="004B2407">
        <w:t xml:space="preserve"> e vivacità </w:t>
      </w:r>
      <w:r w:rsidR="001D0AF3">
        <w:t xml:space="preserve">nei </w:t>
      </w:r>
      <w:r w:rsidR="004B2407">
        <w:t xml:space="preserve">nuovi </w:t>
      </w:r>
      <w:r w:rsidR="002251FF" w:rsidRPr="002251FF">
        <w:t>progetti aziendali.</w:t>
      </w:r>
    </w:p>
    <w:p w14:paraId="34382511" w14:textId="77777777" w:rsidR="00A1493F" w:rsidRDefault="00A1493F" w:rsidP="00D57BDB">
      <w:pPr>
        <w:jc w:val="both"/>
      </w:pPr>
    </w:p>
    <w:p w14:paraId="202A8194" w14:textId="423A49C7" w:rsidR="00635A9E" w:rsidRDefault="00635A9E" w:rsidP="00D57BDB">
      <w:pPr>
        <w:jc w:val="both"/>
      </w:pPr>
      <w:r w:rsidRPr="00C7617B">
        <w:rPr>
          <w:b/>
          <w:bCs/>
        </w:rPr>
        <w:t>Il mercato delle criptovalute, dopo un periodo di relativa stabilità, ha registrato una ripresa</w:t>
      </w:r>
      <w:r w:rsidR="00C840D1">
        <w:rPr>
          <w:b/>
          <w:bCs/>
        </w:rPr>
        <w:t xml:space="preserve"> nel 2023</w:t>
      </w:r>
      <w:r w:rsidR="00EA5E95" w:rsidRPr="00C7617B">
        <w:rPr>
          <w:b/>
          <w:bCs/>
        </w:rPr>
        <w:t xml:space="preserve"> (+</w:t>
      </w:r>
      <w:r w:rsidR="00DD2BA5" w:rsidRPr="00C7617B">
        <w:rPr>
          <w:b/>
          <w:bCs/>
        </w:rPr>
        <w:t>110</w:t>
      </w:r>
      <w:r w:rsidR="00EA5E95" w:rsidRPr="00C7617B">
        <w:rPr>
          <w:b/>
          <w:bCs/>
        </w:rPr>
        <w:t>% rispetto a fine 2022)</w:t>
      </w:r>
      <w:r w:rsidR="00EA5E95">
        <w:t>, grazie anche al</w:t>
      </w:r>
      <w:r w:rsidR="00DD2BA5">
        <w:t xml:space="preserve">lo sviluppo </w:t>
      </w:r>
      <w:r w:rsidR="00EA5E95">
        <w:t>d</w:t>
      </w:r>
      <w:r w:rsidR="00DD2BA5">
        <w:t>egl</w:t>
      </w:r>
      <w:r w:rsidR="00EA5E95">
        <w:t>i</w:t>
      </w:r>
      <w:r w:rsidR="00EA5E95" w:rsidRPr="00EA5E95">
        <w:t xml:space="preserve"> ETF </w:t>
      </w:r>
      <w:r w:rsidR="00F77B5C">
        <w:t xml:space="preserve">spot </w:t>
      </w:r>
      <w:r w:rsidR="00EA5E95" w:rsidRPr="00EA5E95">
        <w:t xml:space="preserve">su </w:t>
      </w:r>
      <w:r w:rsidR="00EA5E95">
        <w:t>Bitcoin</w:t>
      </w:r>
      <w:r w:rsidR="00EA5E95" w:rsidRPr="00EA5E95">
        <w:t xml:space="preserve"> ed </w:t>
      </w:r>
      <w:r w:rsidR="00EA5E95">
        <w:t>E</w:t>
      </w:r>
      <w:r w:rsidR="00EA5E95" w:rsidRPr="00EA5E95">
        <w:t>th</w:t>
      </w:r>
      <w:r w:rsidR="00EA5E95">
        <w:t>er,</w:t>
      </w:r>
      <w:r w:rsidR="00EA5E95" w:rsidRPr="00EA5E95">
        <w:t xml:space="preserve"> ormai prossimi al rilascio da parte dei principali fondi </w:t>
      </w:r>
      <w:r w:rsidR="00EA5E95">
        <w:t xml:space="preserve">di investimento </w:t>
      </w:r>
      <w:r w:rsidR="00EA5E95" w:rsidRPr="00EA5E95">
        <w:t>globali</w:t>
      </w:r>
      <w:r w:rsidRPr="00FB398E">
        <w:t>.</w:t>
      </w:r>
      <w:r>
        <w:t xml:space="preserve"> </w:t>
      </w:r>
      <w:r w:rsidR="00E769A6">
        <w:t xml:space="preserve">Oltre al mercato </w:t>
      </w:r>
      <w:r w:rsidR="00EA5E95">
        <w:t xml:space="preserve">delle </w:t>
      </w:r>
      <w:r w:rsidR="00B055BB" w:rsidRPr="00CC316F">
        <w:rPr>
          <w:color w:val="FF0000"/>
        </w:rPr>
        <w:t>cr</w:t>
      </w:r>
      <w:r w:rsidR="00EA5E95" w:rsidRPr="00CC316F">
        <w:rPr>
          <w:color w:val="FF0000"/>
        </w:rPr>
        <w:t>i</w:t>
      </w:r>
      <w:r w:rsidR="00B055BB" w:rsidRPr="00CC316F">
        <w:rPr>
          <w:color w:val="FF0000"/>
        </w:rPr>
        <w:t>pto</w:t>
      </w:r>
      <w:r w:rsidR="00EA5E95" w:rsidRPr="00CC316F">
        <w:rPr>
          <w:color w:val="FF0000"/>
        </w:rPr>
        <w:t>valute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>
        <w:t>,</w:t>
      </w:r>
      <w:r w:rsidR="00E769A6">
        <w:t xml:space="preserve"> </w:t>
      </w:r>
      <w:r w:rsidR="00DD2BA5">
        <w:t xml:space="preserve">che rappresenta solo un </w:t>
      </w:r>
      <w:r w:rsidR="00E769A6">
        <w:t>indicatore parziale dell’effettivo sviluppo del settore,</w:t>
      </w:r>
      <w:r>
        <w:t xml:space="preserve"> </w:t>
      </w:r>
      <w:r w:rsidR="00DD2BA5" w:rsidRPr="00DD2BA5">
        <w:t>un ulteriore segnale positivo proviene dalla crescita dell'interesse degli utenti</w:t>
      </w:r>
      <w:r w:rsidR="00EA5E95">
        <w:t xml:space="preserve">. </w:t>
      </w:r>
      <w:r w:rsidR="00EA5E95" w:rsidRPr="007529B8">
        <w:rPr>
          <w:b/>
          <w:bCs/>
        </w:rPr>
        <w:t xml:space="preserve">Sono </w:t>
      </w:r>
      <w:r w:rsidRPr="007529B8">
        <w:rPr>
          <w:b/>
          <w:bCs/>
        </w:rPr>
        <w:t xml:space="preserve">circa </w:t>
      </w:r>
      <w:r w:rsidR="007529B8" w:rsidRPr="007529B8">
        <w:rPr>
          <w:b/>
          <w:bCs/>
        </w:rPr>
        <w:t>3</w:t>
      </w:r>
      <w:r w:rsidRPr="007529B8">
        <w:rPr>
          <w:b/>
          <w:bCs/>
        </w:rPr>
        <w:t xml:space="preserve"> milioni </w:t>
      </w:r>
      <w:r w:rsidR="00EA5E95" w:rsidRPr="007529B8">
        <w:rPr>
          <w:b/>
          <w:bCs/>
        </w:rPr>
        <w:t>gli</w:t>
      </w:r>
      <w:r w:rsidRPr="007529B8">
        <w:rPr>
          <w:b/>
          <w:bCs/>
        </w:rPr>
        <w:t xml:space="preserve"> utenti </w:t>
      </w:r>
      <w:r w:rsidR="00C840D1">
        <w:rPr>
          <w:b/>
          <w:bCs/>
        </w:rPr>
        <w:t>giornalieri</w:t>
      </w:r>
      <w:r w:rsidR="00EA5E95" w:rsidRPr="007529B8">
        <w:rPr>
          <w:b/>
          <w:bCs/>
        </w:rPr>
        <w:t xml:space="preserve"> che attivamente utilizzano le oltre 15.000 </w:t>
      </w:r>
      <w:r w:rsidR="00EA5E95" w:rsidRPr="007529B8">
        <w:rPr>
          <w:b/>
          <w:bCs/>
          <w:color w:val="FF0000"/>
        </w:rPr>
        <w:t>applicazioni decentralizzate (DApp)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EA5E95" w:rsidRPr="007529B8">
        <w:rPr>
          <w:b/>
          <w:bCs/>
          <w:color w:val="FF0000"/>
        </w:rPr>
        <w:t xml:space="preserve"> </w:t>
      </w:r>
      <w:r w:rsidR="00EA5E95" w:rsidRPr="007529B8">
        <w:rPr>
          <w:b/>
          <w:bCs/>
        </w:rPr>
        <w:t>presenti sul mercato</w:t>
      </w:r>
      <w:r w:rsidRPr="007529B8">
        <w:rPr>
          <w:b/>
          <w:bCs/>
        </w:rPr>
        <w:t xml:space="preserve">, </w:t>
      </w:r>
      <w:r w:rsidR="00EA5E95" w:rsidRPr="007529B8">
        <w:rPr>
          <w:b/>
          <w:bCs/>
        </w:rPr>
        <w:t xml:space="preserve">un dato </w:t>
      </w:r>
      <w:r w:rsidR="00375E74" w:rsidRPr="007529B8">
        <w:rPr>
          <w:b/>
          <w:bCs/>
        </w:rPr>
        <w:t xml:space="preserve">in aumento </w:t>
      </w:r>
      <w:r w:rsidRPr="007529B8">
        <w:rPr>
          <w:b/>
          <w:bCs/>
        </w:rPr>
        <w:t xml:space="preserve">del </w:t>
      </w:r>
      <w:r w:rsidR="00121DC7">
        <w:rPr>
          <w:b/>
          <w:bCs/>
        </w:rPr>
        <w:t>+</w:t>
      </w:r>
      <w:r w:rsidR="007529B8" w:rsidRPr="007529B8">
        <w:rPr>
          <w:b/>
          <w:bCs/>
        </w:rPr>
        <w:t>75</w:t>
      </w:r>
      <w:r w:rsidRPr="007529B8">
        <w:rPr>
          <w:b/>
          <w:bCs/>
        </w:rPr>
        <w:t>% nell'ultimo anno.</w:t>
      </w:r>
      <w:r w:rsidRPr="00D52E1B">
        <w:t xml:space="preserve"> </w:t>
      </w:r>
      <w:r w:rsidR="00EA5E95">
        <w:t>Anche</w:t>
      </w:r>
      <w:r w:rsidRPr="00D52E1B">
        <w:t xml:space="preserve"> l'ecosistema della </w:t>
      </w:r>
      <w:r w:rsidRPr="000B07FD">
        <w:rPr>
          <w:color w:val="FF0000"/>
        </w:rPr>
        <w:t>finanza decentralizzata (DeFi)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CC422E">
        <w:rPr>
          <w:color w:val="FF0000"/>
        </w:rPr>
        <w:t xml:space="preserve"> </w:t>
      </w:r>
      <w:r w:rsidRPr="00D52E1B">
        <w:t xml:space="preserve">ha dimostrato stabilità durante le </w:t>
      </w:r>
      <w:r w:rsidR="000A77CA">
        <w:t>difficoltà</w:t>
      </w:r>
      <w:r w:rsidRPr="00D52E1B">
        <w:t xml:space="preserve"> d</w:t>
      </w:r>
      <w:r w:rsidR="000A77CA">
        <w:t>el</w:t>
      </w:r>
      <w:r w:rsidRPr="00D52E1B">
        <w:t xml:space="preserve"> mercato, mantenendo un valore </w:t>
      </w:r>
      <w:r>
        <w:t xml:space="preserve">investito </w:t>
      </w:r>
      <w:r w:rsidRPr="00D52E1B">
        <w:t xml:space="preserve">complessivo stabilmente intorno ai </w:t>
      </w:r>
      <w:r>
        <w:t>45</w:t>
      </w:r>
      <w:r w:rsidRPr="00D52E1B">
        <w:t xml:space="preserve"> miliardi di dollari</w:t>
      </w:r>
      <w:r w:rsidR="00D67C5A">
        <w:rPr>
          <w:rStyle w:val="FootnoteReference"/>
        </w:rPr>
        <w:footnoteReference w:id="2"/>
      </w:r>
      <w:r w:rsidR="00C840D1">
        <w:t>;</w:t>
      </w:r>
      <w:r w:rsidR="00EA5E95">
        <w:t xml:space="preserve"> </w:t>
      </w:r>
      <w:r w:rsidR="00C840D1">
        <w:t>a</w:t>
      </w:r>
      <w:r w:rsidR="00EA5E95">
        <w:t>mmontare rilevante</w:t>
      </w:r>
      <w:r w:rsidR="00DD2BA5">
        <w:t>,</w:t>
      </w:r>
      <w:r w:rsidR="00EF710C">
        <w:t xml:space="preserve"> </w:t>
      </w:r>
      <w:r w:rsidR="000A77CA">
        <w:t>anche se ben</w:t>
      </w:r>
      <w:r w:rsidR="00EF710C">
        <w:t xml:space="preserve"> lontan</w:t>
      </w:r>
      <w:r w:rsidR="000A77CA">
        <w:t>o</w:t>
      </w:r>
      <w:r w:rsidR="00EF710C">
        <w:t xml:space="preserve"> dai </w:t>
      </w:r>
      <w:r w:rsidR="000A77CA">
        <w:t xml:space="preserve">160 miliardi di dollari </w:t>
      </w:r>
      <w:r w:rsidR="00EF710C">
        <w:t xml:space="preserve">toccati </w:t>
      </w:r>
      <w:r w:rsidR="000A77CA">
        <w:t>ad aprile 2022</w:t>
      </w:r>
      <w:r w:rsidR="00DD2BA5">
        <w:t>,</w:t>
      </w:r>
      <w:r w:rsidR="000A77CA">
        <w:t xml:space="preserve"> prima del crollo di Terra-Luna e del successivo cryptowinter</w:t>
      </w:r>
      <w:r w:rsidR="00D67C5A">
        <w:rPr>
          <w:rStyle w:val="FootnoteReference"/>
        </w:rPr>
        <w:footnoteReference w:id="3"/>
      </w:r>
      <w:r w:rsidR="00EF710C">
        <w:t>.</w:t>
      </w:r>
    </w:p>
    <w:p w14:paraId="04DD5DCA" w14:textId="77777777" w:rsidR="00636758" w:rsidRDefault="00636758" w:rsidP="00D57BDB">
      <w:pPr>
        <w:jc w:val="both"/>
      </w:pPr>
    </w:p>
    <w:p w14:paraId="67740119" w14:textId="3AAB76F6" w:rsidR="0089034C" w:rsidRDefault="00635A9E" w:rsidP="00D57BDB">
      <w:pPr>
        <w:jc w:val="both"/>
      </w:pPr>
      <w:r w:rsidRPr="00B055BB">
        <w:rPr>
          <w:b/>
          <w:bCs/>
        </w:rPr>
        <w:t>Un forte impulso è stato dato anche da</w:t>
      </w:r>
      <w:r w:rsidR="00B055BB" w:rsidRPr="00B055BB">
        <w:rPr>
          <w:b/>
          <w:bCs/>
        </w:rPr>
        <w:t>gli enti</w:t>
      </w:r>
      <w:r w:rsidRPr="00B055BB">
        <w:rPr>
          <w:b/>
          <w:bCs/>
        </w:rPr>
        <w:t xml:space="preserve"> regolatori a livello internazionale.</w:t>
      </w:r>
      <w:r w:rsidR="00E769A6" w:rsidRPr="00B055BB">
        <w:rPr>
          <w:b/>
          <w:bCs/>
        </w:rPr>
        <w:t xml:space="preserve"> Gli eventi del 2022</w:t>
      </w:r>
      <w:r w:rsidR="00E769A6">
        <w:t xml:space="preserve"> </w:t>
      </w:r>
      <w:r w:rsidR="00E769A6" w:rsidRPr="00A76180">
        <w:rPr>
          <w:b/>
          <w:bCs/>
        </w:rPr>
        <w:t>hanno</w:t>
      </w:r>
      <w:r w:rsidR="00E769A6">
        <w:rPr>
          <w:b/>
          <w:bCs/>
        </w:rPr>
        <w:t xml:space="preserve"> infatti</w:t>
      </w:r>
      <w:r w:rsidR="00E769A6" w:rsidRPr="00A76180">
        <w:rPr>
          <w:b/>
          <w:bCs/>
        </w:rPr>
        <w:t xml:space="preserve"> contribuito a spingere </w:t>
      </w:r>
      <w:r w:rsidR="00B055BB">
        <w:rPr>
          <w:b/>
          <w:bCs/>
        </w:rPr>
        <w:t xml:space="preserve">le autorità </w:t>
      </w:r>
      <w:r w:rsidR="00E769A6" w:rsidRPr="00A76180">
        <w:rPr>
          <w:b/>
          <w:bCs/>
        </w:rPr>
        <w:t xml:space="preserve">di tutto il mondo </w:t>
      </w:r>
      <w:r w:rsidR="00115F08">
        <w:rPr>
          <w:b/>
          <w:bCs/>
        </w:rPr>
        <w:t xml:space="preserve">verso </w:t>
      </w:r>
      <w:r w:rsidR="00E769A6" w:rsidRPr="00A76180">
        <w:rPr>
          <w:b/>
          <w:bCs/>
        </w:rPr>
        <w:t>una maggiore</w:t>
      </w:r>
      <w:r w:rsidR="00115F08">
        <w:rPr>
          <w:b/>
          <w:bCs/>
        </w:rPr>
        <w:t xml:space="preserve"> attenzione alla</w:t>
      </w:r>
      <w:r w:rsidR="00E769A6" w:rsidRPr="00A76180">
        <w:rPr>
          <w:b/>
          <w:bCs/>
        </w:rPr>
        <w:t xml:space="preserve"> regolamentazione del settore</w:t>
      </w:r>
      <w:r w:rsidR="00E769A6">
        <w:t>.</w:t>
      </w:r>
      <w:r w:rsidR="00E769A6">
        <w:rPr>
          <w:b/>
          <w:bCs/>
        </w:rPr>
        <w:t xml:space="preserve"> </w:t>
      </w:r>
      <w:r w:rsidR="006E3540">
        <w:t xml:space="preserve"> </w:t>
      </w:r>
      <w:r w:rsidR="00B055BB">
        <w:t>La manifestazione più evidente</w:t>
      </w:r>
      <w:r w:rsidR="00B51F53">
        <w:t xml:space="preserve"> di questa tendenza arriva </w:t>
      </w:r>
      <w:r w:rsidR="00B51F53" w:rsidRPr="00B055BB">
        <w:t>dall'Unione Europea, che nel 202</w:t>
      </w:r>
      <w:r w:rsidR="009A5520" w:rsidRPr="00B055BB">
        <w:t>3</w:t>
      </w:r>
      <w:r w:rsidR="00B51F53" w:rsidRPr="00B055BB">
        <w:t xml:space="preserve"> ha portato avanti </w:t>
      </w:r>
      <w:r w:rsidR="00A1493F" w:rsidRPr="00B055BB">
        <w:t xml:space="preserve">le </w:t>
      </w:r>
      <w:r w:rsidR="00B51F53" w:rsidRPr="00B055BB">
        <w:t xml:space="preserve">importanti iniziative partite </w:t>
      </w:r>
      <w:r w:rsidR="00115F08">
        <w:t xml:space="preserve">già </w:t>
      </w:r>
      <w:r w:rsidR="00B51F53" w:rsidRPr="00B055BB">
        <w:t xml:space="preserve">negli anni </w:t>
      </w:r>
      <w:r w:rsidR="00115F08">
        <w:t>precedenti</w:t>
      </w:r>
      <w:r w:rsidR="00A1493F" w:rsidRPr="00B055BB">
        <w:t xml:space="preserve">: il regolamento </w:t>
      </w:r>
      <w:proofErr w:type="spellStart"/>
      <w:r w:rsidR="00844E61" w:rsidRPr="00B055BB">
        <w:t>MiCA</w:t>
      </w:r>
      <w:proofErr w:type="spellEnd"/>
      <w:r w:rsidR="00844E61" w:rsidRPr="00B055BB">
        <w:t xml:space="preserve"> </w:t>
      </w:r>
      <w:r w:rsidR="00A1493F" w:rsidRPr="00B055BB">
        <w:t>relativo ai crypto</w:t>
      </w:r>
      <w:r w:rsidR="00115F08">
        <w:t>-</w:t>
      </w:r>
      <w:r w:rsidR="00A1493F" w:rsidRPr="00B055BB">
        <w:t>asset</w:t>
      </w:r>
      <w:r w:rsidR="00590D30">
        <w:rPr>
          <w:rStyle w:val="FootnoteReference"/>
        </w:rPr>
        <w:footnoteReference w:id="4"/>
      </w:r>
      <w:r w:rsidR="00A1493F" w:rsidRPr="00B055BB">
        <w:t>, il DLT Pilot Regime</w:t>
      </w:r>
      <w:r w:rsidR="00590D30">
        <w:rPr>
          <w:rStyle w:val="FootnoteReference"/>
        </w:rPr>
        <w:footnoteReference w:id="5"/>
      </w:r>
      <w:r w:rsidR="00A1493F" w:rsidRPr="00B055BB">
        <w:t xml:space="preserve"> e il progetto dell’Euro Digitale.</w:t>
      </w:r>
      <w:r w:rsidR="00115F08">
        <w:t xml:space="preserve"> </w:t>
      </w:r>
    </w:p>
    <w:p w14:paraId="6B3C17B9" w14:textId="77777777" w:rsidR="0089034C" w:rsidRDefault="0089034C" w:rsidP="00D57BDB">
      <w:pPr>
        <w:jc w:val="both"/>
      </w:pPr>
    </w:p>
    <w:p w14:paraId="7455B8D5" w14:textId="1C3C9EBF" w:rsidR="00FA6BD1" w:rsidRDefault="002E5478" w:rsidP="00D57BDB">
      <w:pPr>
        <w:jc w:val="both"/>
        <w:rPr>
          <w:strike/>
        </w:rPr>
      </w:pPr>
      <w:r w:rsidRPr="00115F08">
        <w:rPr>
          <w:b/>
          <w:bCs/>
        </w:rPr>
        <w:t xml:space="preserve">Un ulteriore segnale positivo </w:t>
      </w:r>
      <w:r w:rsidR="00115F08" w:rsidRPr="00115F08">
        <w:rPr>
          <w:b/>
          <w:bCs/>
        </w:rPr>
        <w:t>è arrivato anche dal</w:t>
      </w:r>
      <w:r w:rsidR="00844E61" w:rsidRPr="00115F08">
        <w:rPr>
          <w:b/>
          <w:bCs/>
        </w:rPr>
        <w:t>l</w:t>
      </w:r>
      <w:r w:rsidR="0016049E" w:rsidRPr="00115F08">
        <w:rPr>
          <w:b/>
          <w:bCs/>
        </w:rPr>
        <w:t xml:space="preserve">e aziende e </w:t>
      </w:r>
      <w:r w:rsidR="00115F08" w:rsidRPr="00115F08">
        <w:rPr>
          <w:b/>
          <w:bCs/>
        </w:rPr>
        <w:t>dal</w:t>
      </w:r>
      <w:r w:rsidR="0016049E" w:rsidRPr="00115F08">
        <w:rPr>
          <w:b/>
          <w:bCs/>
        </w:rPr>
        <w:t>le</w:t>
      </w:r>
      <w:r w:rsidR="00115F08" w:rsidRPr="00115F08">
        <w:rPr>
          <w:b/>
          <w:bCs/>
        </w:rPr>
        <w:t xml:space="preserve"> PA</w:t>
      </w:r>
      <w:r w:rsidR="0016049E" w:rsidRPr="00115F08">
        <w:rPr>
          <w:b/>
          <w:bCs/>
        </w:rPr>
        <w:t xml:space="preserve"> di tutto il mondo</w:t>
      </w:r>
      <w:r w:rsidRPr="00115F08">
        <w:rPr>
          <w:b/>
          <w:bCs/>
        </w:rPr>
        <w:t xml:space="preserve">, che </w:t>
      </w:r>
      <w:r w:rsidR="000A77CA" w:rsidRPr="00115F08">
        <w:rPr>
          <w:b/>
          <w:bCs/>
        </w:rPr>
        <w:t xml:space="preserve">nel 2023 </w:t>
      </w:r>
      <w:r w:rsidR="0016049E" w:rsidRPr="00115F08">
        <w:rPr>
          <w:b/>
          <w:bCs/>
        </w:rPr>
        <w:t>hanno proseguito l</w:t>
      </w:r>
      <w:r w:rsidR="00545F78" w:rsidRPr="00115F08">
        <w:rPr>
          <w:b/>
          <w:bCs/>
        </w:rPr>
        <w:t xml:space="preserve">o sviluppo </w:t>
      </w:r>
      <w:r w:rsidR="0016049E" w:rsidRPr="00115F08">
        <w:rPr>
          <w:b/>
          <w:bCs/>
        </w:rPr>
        <w:t xml:space="preserve">di progetti basati su </w:t>
      </w:r>
      <w:r w:rsidR="000A77CA" w:rsidRPr="00115F08">
        <w:rPr>
          <w:b/>
          <w:bCs/>
        </w:rPr>
        <w:t>b</w:t>
      </w:r>
      <w:r w:rsidR="0016049E" w:rsidRPr="00115F08">
        <w:rPr>
          <w:b/>
          <w:bCs/>
        </w:rPr>
        <w:t xml:space="preserve">lockchain. </w:t>
      </w:r>
      <w:r w:rsidR="0016049E" w:rsidRPr="00115F08">
        <w:t>L'Osservatorio ha</w:t>
      </w:r>
      <w:r w:rsidR="00115F08" w:rsidRPr="00115F08">
        <w:t xml:space="preserve"> infatti</w:t>
      </w:r>
      <w:r w:rsidR="0016049E" w:rsidRPr="00115F08">
        <w:t xml:space="preserve"> individuato</w:t>
      </w:r>
      <w:r w:rsidR="0089034C" w:rsidRPr="0089034C">
        <w:t xml:space="preserve"> 297 casi nel 2023, in crescita del </w:t>
      </w:r>
      <w:r w:rsidR="00121DC7">
        <w:t>+</w:t>
      </w:r>
      <w:r w:rsidR="0089034C" w:rsidRPr="0089034C">
        <w:t>19% rispetto al 2022</w:t>
      </w:r>
      <w:r w:rsidR="0016049E" w:rsidRPr="00115F08">
        <w:t>.</w:t>
      </w:r>
      <w:r w:rsidR="0016049E" w:rsidRPr="0016049E">
        <w:t xml:space="preserve"> </w:t>
      </w:r>
      <w:r w:rsidR="0089034C" w:rsidRPr="00C840D1">
        <w:t>Da un’analisi sulle Fortune Global 500</w:t>
      </w:r>
      <w:r w:rsidR="00070F09" w:rsidRPr="00C840D1">
        <w:rPr>
          <w:rStyle w:val="FootnoteReference"/>
        </w:rPr>
        <w:footnoteReference w:id="6"/>
      </w:r>
      <w:r w:rsidR="00070F09" w:rsidRPr="00C840D1">
        <w:t>,</w:t>
      </w:r>
      <w:r w:rsidR="0089034C" w:rsidRPr="00C840D1">
        <w:t xml:space="preserve"> inoltre,</w:t>
      </w:r>
      <w:r w:rsidR="00B95B8F" w:rsidRPr="00C840D1">
        <w:t xml:space="preserve"> </w:t>
      </w:r>
      <w:r w:rsidR="0089034C" w:rsidRPr="00C840D1">
        <w:t xml:space="preserve">emerge che </w:t>
      </w:r>
      <w:r w:rsidR="009245C9" w:rsidRPr="00C840D1">
        <w:t xml:space="preserve">sono </w:t>
      </w:r>
      <w:r w:rsidR="008B3F83" w:rsidRPr="00C840D1">
        <w:t>161</w:t>
      </w:r>
      <w:r w:rsidR="00041137" w:rsidRPr="00C840D1">
        <w:t xml:space="preserve"> </w:t>
      </w:r>
      <w:r w:rsidR="009245C9" w:rsidRPr="00C840D1">
        <w:t xml:space="preserve">le </w:t>
      </w:r>
      <w:r w:rsidR="00545F78" w:rsidRPr="00C840D1">
        <w:t>imprese</w:t>
      </w:r>
      <w:r w:rsidR="00041137" w:rsidRPr="00C840D1">
        <w:t xml:space="preserve"> che hanno implementato almeno un progetto basato su blockchain negli ultimi anni (il </w:t>
      </w:r>
      <w:r w:rsidR="00BC5FCB" w:rsidRPr="00C840D1">
        <w:t>3</w:t>
      </w:r>
      <w:r w:rsidR="00041137" w:rsidRPr="00C840D1">
        <w:t xml:space="preserve">2% </w:t>
      </w:r>
      <w:r w:rsidR="009245C9" w:rsidRPr="00C840D1">
        <w:t>del totale</w:t>
      </w:r>
      <w:r w:rsidR="00041137" w:rsidRPr="00C840D1">
        <w:t>).</w:t>
      </w:r>
      <w:r w:rsidR="00041137" w:rsidRPr="00C7617B">
        <w:t xml:space="preserve"> </w:t>
      </w:r>
      <w:r w:rsidR="0089034C" w:rsidRPr="00C7617B">
        <w:t>Queste imprese</w:t>
      </w:r>
      <w:r w:rsidR="006E3540" w:rsidRPr="00C7617B">
        <w:t xml:space="preserve"> </w:t>
      </w:r>
      <w:r w:rsidR="0089034C" w:rsidRPr="00C7617B">
        <w:t>hanno in totale sviluppato</w:t>
      </w:r>
      <w:r w:rsidR="00041137" w:rsidRPr="00C7617B">
        <w:t xml:space="preserve"> </w:t>
      </w:r>
      <w:r w:rsidR="008B3F83">
        <w:t>398</w:t>
      </w:r>
      <w:r w:rsidR="00B95B8F" w:rsidRPr="00C7617B">
        <w:t xml:space="preserve"> progetti </w:t>
      </w:r>
      <w:r w:rsidR="00545F78" w:rsidRPr="00C7617B">
        <w:t>implementativi</w:t>
      </w:r>
      <w:r w:rsidR="00854893" w:rsidRPr="00C7617B">
        <w:t xml:space="preserve"> – considerando </w:t>
      </w:r>
      <w:proofErr w:type="spellStart"/>
      <w:r w:rsidR="00854893" w:rsidRPr="00C7617B">
        <w:t>PoC</w:t>
      </w:r>
      <w:proofErr w:type="spellEnd"/>
      <w:r w:rsidR="00854893" w:rsidRPr="00C7617B">
        <w:t>, progetti pilota e operativi –</w:t>
      </w:r>
      <w:r w:rsidR="00B95B8F" w:rsidRPr="00C7617B">
        <w:t xml:space="preserve"> </w:t>
      </w:r>
      <w:r w:rsidR="00041137" w:rsidRPr="00C7617B">
        <w:t xml:space="preserve">il </w:t>
      </w:r>
      <w:r w:rsidR="008B3F83">
        <w:t>3</w:t>
      </w:r>
      <w:r w:rsidR="00041137" w:rsidRPr="00C7617B">
        <w:t xml:space="preserve">4% dei quali </w:t>
      </w:r>
      <w:r w:rsidR="0089034C" w:rsidRPr="00C7617B">
        <w:t xml:space="preserve">solo </w:t>
      </w:r>
      <w:r w:rsidR="00041137" w:rsidRPr="00C7617B">
        <w:t xml:space="preserve">negli ultimi </w:t>
      </w:r>
      <w:r w:rsidR="00854893" w:rsidRPr="00C7617B">
        <w:t>2</w:t>
      </w:r>
      <w:r w:rsidR="00041137" w:rsidRPr="00C7617B">
        <w:t xml:space="preserve"> anni.</w:t>
      </w:r>
    </w:p>
    <w:p w14:paraId="373F1C2E" w14:textId="0F95EFFE" w:rsidR="005F6543" w:rsidRDefault="0016049E" w:rsidP="00D57BDB">
      <w:pPr>
        <w:jc w:val="both"/>
      </w:pPr>
      <w:r w:rsidRPr="00F018C2">
        <w:t>Per analizzare meglio le caratteristiche dello s</w:t>
      </w:r>
      <w:r>
        <w:t>viluppo del web3 è possibile dividere i progetti in 3 categorie</w:t>
      </w:r>
      <w:r w:rsidR="005F6543" w:rsidRPr="0016049E">
        <w:t>:</w:t>
      </w:r>
      <w:r w:rsidR="005F6543" w:rsidRPr="0016049E">
        <w:rPr>
          <w:b/>
          <w:i/>
        </w:rPr>
        <w:t xml:space="preserve"> </w:t>
      </w:r>
      <w:r w:rsidR="005F6543" w:rsidRPr="00276BFF">
        <w:rPr>
          <w:b/>
          <w:i/>
          <w:color w:val="FF0000"/>
        </w:rPr>
        <w:t>Internet of Value</w:t>
      </w:r>
      <w:r w:rsidR="00276BFF" w:rsidRPr="00276BFF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5F6543" w:rsidRPr="0016049E">
        <w:t>,</w:t>
      </w:r>
      <w:r w:rsidR="005F6543" w:rsidRPr="0016049E">
        <w:rPr>
          <w:b/>
          <w:i/>
        </w:rPr>
        <w:t xml:space="preserve"> </w:t>
      </w:r>
      <w:r w:rsidR="005F6543" w:rsidRPr="00276BFF">
        <w:rPr>
          <w:b/>
          <w:i/>
          <w:color w:val="FF0000"/>
        </w:rPr>
        <w:t>Blockchain for business</w:t>
      </w:r>
      <w:r w:rsidR="00276BFF" w:rsidRPr="00276BFF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5F6543" w:rsidRPr="00276BFF">
        <w:rPr>
          <w:color w:val="FF0000"/>
        </w:rPr>
        <w:t xml:space="preserve"> </w:t>
      </w:r>
      <w:r w:rsidR="005F6543" w:rsidRPr="0016049E">
        <w:t xml:space="preserve">e </w:t>
      </w:r>
      <w:r w:rsidR="005F6543" w:rsidRPr="00276BFF">
        <w:rPr>
          <w:b/>
          <w:i/>
          <w:color w:val="FF0000"/>
        </w:rPr>
        <w:t>Decentralized web</w:t>
      </w:r>
      <w:r w:rsidR="00276BFF" w:rsidRPr="00276BFF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5F6543" w:rsidRPr="0016049E">
        <w:t>.</w:t>
      </w:r>
    </w:p>
    <w:p w14:paraId="09F5657D" w14:textId="77777777" w:rsidR="00FA6BD1" w:rsidRPr="00FA6BD1" w:rsidRDefault="00FA6BD1" w:rsidP="00D57BDB">
      <w:pPr>
        <w:jc w:val="both"/>
        <w:rPr>
          <w:strike/>
        </w:rPr>
      </w:pPr>
    </w:p>
    <w:p w14:paraId="17E68C69" w14:textId="3217EAC3" w:rsidR="009625D2" w:rsidRPr="0016049E" w:rsidRDefault="00BE1B9A" w:rsidP="00D57BDB">
      <w:pPr>
        <w:spacing w:after="120"/>
        <w:jc w:val="both"/>
      </w:pPr>
      <w:r>
        <w:rPr>
          <w:noProof/>
        </w:rPr>
        <w:lastRenderedPageBreak/>
        <w:drawing>
          <wp:inline distT="0" distB="0" distL="0" distR="0" wp14:anchorId="5A9607AD" wp14:editId="77FF7595">
            <wp:extent cx="6642100" cy="3321050"/>
            <wp:effectExtent l="0" t="0" r="0" b="6350"/>
            <wp:docPr id="434782296" name="Immagine 2" descr="Immagine che contiene testo, schermata, diagramm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82296" name="Immagine 2" descr="Immagine che contiene testo, schermata, diagramma, numer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26D8" w14:textId="77777777" w:rsidR="00CC5DCF" w:rsidRDefault="00CC5DCF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&gt;&gt;&gt;&gt;</w:t>
      </w:r>
    </w:p>
    <w:p w14:paraId="245B154C" w14:textId="77777777" w:rsidR="00CC5DCF" w:rsidRDefault="00CC5DCF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GRAFICO 1</w:t>
      </w:r>
    </w:p>
    <w:p w14:paraId="554CBC81" w14:textId="0D6799CD" w:rsidR="00CC5DCF" w:rsidRDefault="00CC5DCF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 xml:space="preserve">I progetti </w:t>
      </w:r>
      <w:r w:rsidR="0016049E">
        <w:rPr>
          <w:color w:val="00B050"/>
          <w:sz w:val="18"/>
          <w:szCs w:val="18"/>
        </w:rPr>
        <w:t xml:space="preserve">web3 </w:t>
      </w:r>
      <w:r>
        <w:rPr>
          <w:color w:val="00B050"/>
          <w:sz w:val="18"/>
          <w:szCs w:val="18"/>
        </w:rPr>
        <w:t xml:space="preserve">internazionali suddivisi nelle tre categorie per anno (Base: </w:t>
      </w:r>
      <w:r w:rsidR="006F38E6">
        <w:rPr>
          <w:color w:val="00B050"/>
          <w:sz w:val="18"/>
          <w:szCs w:val="18"/>
        </w:rPr>
        <w:t xml:space="preserve">1.301 </w:t>
      </w:r>
      <w:r>
        <w:rPr>
          <w:color w:val="00B050"/>
          <w:sz w:val="18"/>
          <w:szCs w:val="18"/>
        </w:rPr>
        <w:t>progetti)</w:t>
      </w:r>
    </w:p>
    <w:p w14:paraId="49782C25" w14:textId="37353EC6" w:rsidR="002D4FBC" w:rsidRPr="0059319E" w:rsidRDefault="00CC5DCF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&gt;&gt;&gt;&gt;</w:t>
      </w:r>
    </w:p>
    <w:p w14:paraId="79122520" w14:textId="77777777" w:rsidR="00545F78" w:rsidRDefault="00545F78" w:rsidP="00D57BDB">
      <w:pPr>
        <w:pStyle w:val="Heading2"/>
        <w:jc w:val="both"/>
      </w:pPr>
    </w:p>
    <w:p w14:paraId="0000004C" w14:textId="0446236A" w:rsidR="0076699A" w:rsidRPr="0059319E" w:rsidRDefault="000B17DD" w:rsidP="00D57BDB">
      <w:pPr>
        <w:pStyle w:val="Heading2"/>
        <w:jc w:val="both"/>
      </w:pPr>
      <w:bookmarkStart w:id="2" w:name="_Toc155273385"/>
      <w:r>
        <w:t xml:space="preserve">Internet of Value: </w:t>
      </w:r>
      <w:r w:rsidR="009458A3">
        <w:t>il percorso</w:t>
      </w:r>
      <w:r w:rsidR="00041137">
        <w:t xml:space="preserve"> normativ</w:t>
      </w:r>
      <w:r w:rsidR="009458A3">
        <w:t>o</w:t>
      </w:r>
      <w:r w:rsidR="005209C0">
        <w:t xml:space="preserve"> e l’interesse per la programmabilità</w:t>
      </w:r>
      <w:bookmarkEnd w:id="2"/>
    </w:p>
    <w:p w14:paraId="0000004D" w14:textId="77777777" w:rsidR="0076699A" w:rsidRPr="0059319E" w:rsidRDefault="0076699A" w:rsidP="00D57BDB">
      <w:pPr>
        <w:jc w:val="both"/>
      </w:pPr>
    </w:p>
    <w:p w14:paraId="52AC794C" w14:textId="043DCCA7" w:rsidR="007601B3" w:rsidRDefault="00F66FA6" w:rsidP="00D57BDB">
      <w:pPr>
        <w:spacing w:after="120"/>
        <w:jc w:val="both"/>
      </w:pPr>
      <w:r w:rsidRPr="00F66FA6">
        <w:t>Nel 2023, i nuovi progetti legati all’</w:t>
      </w:r>
      <w:r w:rsidRPr="00971A1A">
        <w:rPr>
          <w:i/>
          <w:iCs/>
        </w:rPr>
        <w:t xml:space="preserve">Internet of Value </w:t>
      </w:r>
      <w:r w:rsidRPr="00F66FA6">
        <w:t xml:space="preserve">sviluppati da aziende e pubbliche amministrazioni in tutto il mondo sono stati </w:t>
      </w:r>
      <w:r w:rsidRPr="00C7617B">
        <w:t>95,</w:t>
      </w:r>
      <w:r w:rsidR="002C1078">
        <w:t xml:space="preserve"> </w:t>
      </w:r>
      <w:r w:rsidRPr="00C7617B">
        <w:t>il 32% dei progetti</w:t>
      </w:r>
      <w:r w:rsidRPr="00F66FA6">
        <w:t xml:space="preserve"> censiti complessivamente, un dato in continuità con quanto registrato nel 2022. </w:t>
      </w:r>
      <w:r>
        <w:t xml:space="preserve">Guardando al solo settore bancario, </w:t>
      </w:r>
      <w:r w:rsidRPr="009A0A97">
        <w:t>63 delle 100 principali banche al mondo</w:t>
      </w:r>
      <w:r w:rsidR="0099414D">
        <w:rPr>
          <w:rStyle w:val="FootnoteReference"/>
        </w:rPr>
        <w:footnoteReference w:id="7"/>
      </w:r>
      <w:r>
        <w:t xml:space="preserve"> –</w:t>
      </w:r>
      <w:r w:rsidRPr="009A0A97">
        <w:t xml:space="preserve"> 10 in più rispetto al 2022</w:t>
      </w:r>
      <w:r>
        <w:t xml:space="preserve"> –</w:t>
      </w:r>
      <w:r w:rsidRPr="009A0A97">
        <w:t xml:space="preserve"> hanno avviato almeno un progetto che coinvolge servizi di custodia e investimento in criptovalute</w:t>
      </w:r>
      <w:r>
        <w:t>,</w:t>
      </w:r>
      <w:r w:rsidRPr="009A0A97">
        <w:t xml:space="preserve"> l'utilizzo di </w:t>
      </w:r>
      <w:r w:rsidRPr="00004B3B">
        <w:rPr>
          <w:color w:val="FF0000"/>
        </w:rPr>
        <w:t>stablecoin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>
        <w:t xml:space="preserve"> o le </w:t>
      </w:r>
      <w:r w:rsidRPr="00004B3B">
        <w:rPr>
          <w:color w:val="FF0000"/>
        </w:rPr>
        <w:t>CBDC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Pr="009A0A97">
        <w:t>.</w:t>
      </w:r>
      <w:r>
        <w:t xml:space="preserve"> </w:t>
      </w:r>
    </w:p>
    <w:p w14:paraId="5C0048C1" w14:textId="51E0E56E" w:rsidR="00F66FA6" w:rsidRDefault="00F66FA6" w:rsidP="00D57BDB">
      <w:pPr>
        <w:spacing w:after="120"/>
        <w:jc w:val="both"/>
      </w:pPr>
      <w:r w:rsidRPr="00F66FA6">
        <w:t xml:space="preserve">In parallelo alla crescita dei progetti, il 2023 ha visto la </w:t>
      </w:r>
      <w:r w:rsidR="007601B3">
        <w:t>continuazione</w:t>
      </w:r>
      <w:r w:rsidRPr="00F66FA6">
        <w:t xml:space="preserve"> </w:t>
      </w:r>
      <w:r w:rsidR="00590D30">
        <w:t xml:space="preserve">e i primi effetti </w:t>
      </w:r>
      <w:r w:rsidRPr="00F66FA6">
        <w:t xml:space="preserve">del processo di creazione </w:t>
      </w:r>
      <w:r>
        <w:t xml:space="preserve">di </w:t>
      </w:r>
      <w:r w:rsidR="001B1DCF" w:rsidRPr="007A2A82">
        <w:rPr>
          <w:b/>
          <w:bCs/>
        </w:rPr>
        <w:t>un quadro regolamentare più definito e favorevole agli attori istituzionali</w:t>
      </w:r>
      <w:r w:rsidR="007601B3">
        <w:t xml:space="preserve">. </w:t>
      </w:r>
      <w:r w:rsidR="00590D30">
        <w:t xml:space="preserve">Nell’ambito del </w:t>
      </w:r>
      <w:proofErr w:type="spellStart"/>
      <w:r w:rsidR="00590D30">
        <w:t>MiCAr</w:t>
      </w:r>
      <w:proofErr w:type="spellEnd"/>
      <w:r w:rsidR="00590D30">
        <w:t>, i</w:t>
      </w:r>
      <w:r>
        <w:t xml:space="preserve">n Europa si contano già oltre 1.300 </w:t>
      </w:r>
      <w:r w:rsidR="00590D30">
        <w:t>“operatori di valute virtuali” regolamentati</w:t>
      </w:r>
      <w:r>
        <w:t xml:space="preserve"> e vigilati, di cui 131 in Italia</w:t>
      </w:r>
      <w:r>
        <w:rPr>
          <w:rStyle w:val="FootnoteReference"/>
        </w:rPr>
        <w:footnoteReference w:id="8"/>
      </w:r>
      <w:r>
        <w:t xml:space="preserve">. </w:t>
      </w:r>
      <w:r w:rsidR="00590D30" w:rsidRPr="00590D30">
        <w:t>Inoltre</w:t>
      </w:r>
      <w:r w:rsidR="00590D30">
        <w:rPr>
          <w:b/>
          <w:bCs/>
        </w:rPr>
        <w:t>, s</w:t>
      </w:r>
      <w:r w:rsidRPr="00F9421B">
        <w:rPr>
          <w:b/>
          <w:bCs/>
        </w:rPr>
        <w:t xml:space="preserve">pinti dall’inquadramento di questi strumenti nel </w:t>
      </w:r>
      <w:proofErr w:type="spellStart"/>
      <w:r w:rsidRPr="00F9421B">
        <w:rPr>
          <w:b/>
          <w:bCs/>
        </w:rPr>
        <w:t>MiCAr</w:t>
      </w:r>
      <w:proofErr w:type="spellEnd"/>
      <w:r>
        <w:rPr>
          <w:b/>
          <w:bCs/>
        </w:rPr>
        <w:t>,</w:t>
      </w:r>
      <w:r w:rsidRPr="00F9421B">
        <w:rPr>
          <w:b/>
          <w:bCs/>
        </w:rPr>
        <w:t xml:space="preserve"> </w:t>
      </w:r>
      <w:r>
        <w:rPr>
          <w:b/>
          <w:bCs/>
        </w:rPr>
        <w:t>a</w:t>
      </w:r>
      <w:r w:rsidRPr="00F9421B">
        <w:rPr>
          <w:b/>
          <w:bCs/>
        </w:rPr>
        <w:t>lcuni attori europei</w:t>
      </w:r>
      <w:r>
        <w:rPr>
          <w:b/>
          <w:bCs/>
        </w:rPr>
        <w:t xml:space="preserve"> </w:t>
      </w:r>
      <w:r w:rsidRPr="00F9421B">
        <w:rPr>
          <w:b/>
          <w:bCs/>
        </w:rPr>
        <w:t>stanno sviluppando stablecoin ancorate all’euro</w:t>
      </w:r>
      <w:r w:rsidRPr="00041B1E">
        <w:t xml:space="preserve"> in grado di offrire piena programmabilità e interoperabilità con le applicazioni </w:t>
      </w:r>
      <w:r w:rsidR="00590D30">
        <w:t>web3</w:t>
      </w:r>
      <w:r w:rsidRPr="00041B1E">
        <w:t xml:space="preserve">. Particolarmente significativi sono gli annunci di Société Générale e DWS, impegnati nella creazione di stablecoin istituzionali </w:t>
      </w:r>
      <w:r>
        <w:t>che</w:t>
      </w:r>
      <w:r w:rsidRPr="00041B1E">
        <w:t xml:space="preserve"> </w:t>
      </w:r>
      <w:r w:rsidR="00590D30">
        <w:t>vadano a colmare</w:t>
      </w:r>
      <w:r w:rsidRPr="00041B1E">
        <w:t xml:space="preserve"> l'esigenza di</w:t>
      </w:r>
      <w:r w:rsidR="00590D30">
        <w:t xml:space="preserve"> una forma riconosciuta</w:t>
      </w:r>
      <w:r w:rsidR="00590D30" w:rsidRPr="00590D30">
        <w:t xml:space="preserve"> </w:t>
      </w:r>
      <w:r w:rsidR="00590D30">
        <w:t xml:space="preserve">di </w:t>
      </w:r>
      <w:r w:rsidR="00590D30" w:rsidRPr="0028355D">
        <w:t>valuta utilizzabile su piattaforme blockchain</w:t>
      </w:r>
      <w:r w:rsidRPr="00041B1E">
        <w:t xml:space="preserve"> </w:t>
      </w:r>
      <w:r>
        <w:t>e anticipando</w:t>
      </w:r>
      <w:r w:rsidR="00FB77B5">
        <w:t xml:space="preserve"> il lancio </w:t>
      </w:r>
      <w:r w:rsidR="00590D30">
        <w:t>del</w:t>
      </w:r>
      <w:r>
        <w:t xml:space="preserve"> </w:t>
      </w:r>
      <w:r w:rsidRPr="00004B3B">
        <w:rPr>
          <w:color w:val="FF0000"/>
        </w:rPr>
        <w:t>Digital Euro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FB77B5" w:rsidRPr="00004B3B">
        <w:rPr>
          <w:color w:val="FF0000"/>
        </w:rPr>
        <w:t xml:space="preserve"> </w:t>
      </w:r>
      <w:r w:rsidR="00FB77B5">
        <w:t>da parte della BCE</w:t>
      </w:r>
      <w:r w:rsidRPr="00041B1E">
        <w:t>.</w:t>
      </w:r>
      <w:r>
        <w:t xml:space="preserve"> </w:t>
      </w:r>
    </w:p>
    <w:p w14:paraId="528E4CF9" w14:textId="2FEBBC3A" w:rsidR="00C30D81" w:rsidRDefault="00FB77B5" w:rsidP="00D57BDB">
      <w:pPr>
        <w:spacing w:after="120"/>
        <w:jc w:val="both"/>
      </w:pPr>
      <w:r>
        <w:rPr>
          <w:b/>
          <w:bCs/>
        </w:rPr>
        <w:t>I</w:t>
      </w:r>
      <w:r w:rsidRPr="00815D0F">
        <w:rPr>
          <w:b/>
          <w:bCs/>
        </w:rPr>
        <w:t>l progetto per l'Euro Digitale, dopo due anni di studio, è passato</w:t>
      </w:r>
      <w:r>
        <w:rPr>
          <w:b/>
          <w:bCs/>
        </w:rPr>
        <w:t xml:space="preserve"> ufficialmente</w:t>
      </w:r>
      <w:r w:rsidR="0008583C" w:rsidRPr="0008583C">
        <w:rPr>
          <w:b/>
          <w:bCs/>
        </w:rPr>
        <w:t xml:space="preserve"> </w:t>
      </w:r>
      <w:r w:rsidR="0008583C" w:rsidRPr="00815D0F">
        <w:rPr>
          <w:b/>
          <w:bCs/>
        </w:rPr>
        <w:t>il 1° novembre</w:t>
      </w:r>
      <w:r w:rsidRPr="00815D0F">
        <w:rPr>
          <w:b/>
          <w:bCs/>
        </w:rPr>
        <w:t xml:space="preserve"> alla fase di preparazione</w:t>
      </w:r>
      <w:r w:rsidR="00A95197">
        <w:t>.</w:t>
      </w:r>
      <w:r w:rsidRPr="009A0A97">
        <w:t xml:space="preserve"> </w:t>
      </w:r>
      <w:r w:rsidR="00A95197">
        <w:t xml:space="preserve">Ciò </w:t>
      </w:r>
      <w:r w:rsidRPr="009A0A97">
        <w:t xml:space="preserve">rappresenta una potenziale rivoluzione </w:t>
      </w:r>
      <w:r>
        <w:t>d</w:t>
      </w:r>
      <w:r w:rsidRPr="009A0A97">
        <w:t xml:space="preserve">ei pagamenti </w:t>
      </w:r>
      <w:r>
        <w:t>nel</w:t>
      </w:r>
      <w:r w:rsidRPr="009A0A97">
        <w:t xml:space="preserve"> panorama finanziario europeo con possibili impatti anche nel mondo web3</w:t>
      </w:r>
      <w:r w:rsidR="00D350B7">
        <w:t xml:space="preserve">, anche se si sospetta </w:t>
      </w:r>
      <w:r w:rsidR="00395FA8">
        <w:t>il non utilizzo</w:t>
      </w:r>
      <w:r w:rsidR="00D350B7">
        <w:t xml:space="preserve"> </w:t>
      </w:r>
      <w:r w:rsidR="00395FA8">
        <w:t>del</w:t>
      </w:r>
      <w:r w:rsidR="00D350B7">
        <w:t xml:space="preserve">la tecnologia DLT per il </w:t>
      </w:r>
      <w:r w:rsidR="00BE2A0F">
        <w:t xml:space="preserve">suo </w:t>
      </w:r>
      <w:r w:rsidR="00D350B7">
        <w:t>funzionamento.</w:t>
      </w:r>
      <w:r>
        <w:t xml:space="preserve"> Lo sviluppo di forme digitali di moneta di banca centrale (CBDC) non è però solo una peculiarità europea.</w:t>
      </w:r>
      <w:r w:rsidR="008B260B" w:rsidRPr="002C1078">
        <w:t xml:space="preserve"> </w:t>
      </w:r>
      <w:r w:rsidR="00395FA8">
        <w:t>S</w:t>
      </w:r>
      <w:r w:rsidRPr="002C1078">
        <w:t xml:space="preserve">ono </w:t>
      </w:r>
      <w:r w:rsidR="008B260B" w:rsidRPr="002C1078">
        <w:t>b</w:t>
      </w:r>
      <w:r w:rsidR="00912D7C" w:rsidRPr="002C1078">
        <w:t>en 94</w:t>
      </w:r>
      <w:r w:rsidRPr="002C1078">
        <w:t xml:space="preserve"> le</w:t>
      </w:r>
      <w:r w:rsidR="00912D7C" w:rsidRPr="002C1078">
        <w:t xml:space="preserve"> banche central</w:t>
      </w:r>
      <w:r w:rsidR="008B260B" w:rsidRPr="002C1078">
        <w:t>i</w:t>
      </w:r>
      <w:r w:rsidR="00912D7C" w:rsidRPr="002C1078">
        <w:t xml:space="preserve"> </w:t>
      </w:r>
      <w:r w:rsidR="008B260B" w:rsidRPr="002C1078">
        <w:t>(</w:t>
      </w:r>
      <w:r w:rsidR="00912D7C" w:rsidRPr="002C1078">
        <w:t>circa il 60% del totale</w:t>
      </w:r>
      <w:r w:rsidR="008B260B" w:rsidRPr="002C1078">
        <w:t>)</w:t>
      </w:r>
      <w:r w:rsidR="00912D7C" w:rsidRPr="002C1078">
        <w:t xml:space="preserve"> </w:t>
      </w:r>
      <w:r w:rsidRPr="002C1078">
        <w:t xml:space="preserve">che </w:t>
      </w:r>
      <w:r w:rsidR="00912D7C" w:rsidRPr="002C1078">
        <w:t>stanno esaminando o sperimentando attivamente le CBDC</w:t>
      </w:r>
      <w:r w:rsidR="00912D7C" w:rsidRPr="009A0A97">
        <w:t xml:space="preserve">. Il 46% delle iniziative è </w:t>
      </w:r>
      <w:r w:rsidR="00912D7C" w:rsidRPr="009A0A97">
        <w:lastRenderedPageBreak/>
        <w:t xml:space="preserve">attualmente in fase di sperimentazione, </w:t>
      </w:r>
      <w:r w:rsidR="00912D7C">
        <w:t>in</w:t>
      </w:r>
      <w:r w:rsidR="00912D7C" w:rsidRPr="009A0A97">
        <w:t xml:space="preserve"> aumento del </w:t>
      </w:r>
      <w:r w:rsidR="00395FA8">
        <w:t>+</w:t>
      </w:r>
      <w:r w:rsidR="00912D7C" w:rsidRPr="009A0A97">
        <w:t>8% rispetto al 2022.</w:t>
      </w:r>
      <w:r w:rsidR="00912D7C">
        <w:t xml:space="preserve"> Tali</w:t>
      </w:r>
      <w:r w:rsidR="002C1078">
        <w:t xml:space="preserve"> progetti</w:t>
      </w:r>
      <w:r w:rsidR="00912D7C">
        <w:rPr>
          <w:rStyle w:val="FootnoteReference"/>
        </w:rPr>
        <w:footnoteReference w:id="9"/>
      </w:r>
      <w:r w:rsidR="00912D7C">
        <w:t xml:space="preserve"> stanno dimostrando come le CBDC possano ridurre significativamente tempi e costi nei processi finanziari tradizionali</w:t>
      </w:r>
      <w:r w:rsidR="00912D7C">
        <w:rPr>
          <w:rStyle w:val="FootnoteReference"/>
        </w:rPr>
        <w:footnoteReference w:id="10"/>
      </w:r>
      <w:r w:rsidR="00C30D81">
        <w:t xml:space="preserve"> </w:t>
      </w:r>
      <w:r w:rsidR="00912D7C">
        <w:t>e rappresenta</w:t>
      </w:r>
      <w:r w:rsidR="00C30D81">
        <w:t>no</w:t>
      </w:r>
      <w:r w:rsidR="00912D7C">
        <w:t xml:space="preserve"> al contempo un elemento abilitante di innovazione</w:t>
      </w:r>
      <w:r w:rsidR="00C30D81">
        <w:t>.</w:t>
      </w:r>
    </w:p>
    <w:p w14:paraId="0539B3D1" w14:textId="3BCE80BB" w:rsidR="00710528" w:rsidRDefault="00710528" w:rsidP="00D57BDB">
      <w:pPr>
        <w:spacing w:after="120"/>
        <w:jc w:val="both"/>
      </w:pPr>
      <w:r w:rsidRPr="002C1078">
        <w:rPr>
          <w:b/>
          <w:bCs/>
        </w:rPr>
        <w:t xml:space="preserve">Alcune banche centrali stanno </w:t>
      </w:r>
      <w:r w:rsidR="002C1078" w:rsidRPr="002C1078">
        <w:rPr>
          <w:b/>
          <w:bCs/>
        </w:rPr>
        <w:t>testando</w:t>
      </w:r>
      <w:r w:rsidRPr="002C1078">
        <w:rPr>
          <w:b/>
          <w:bCs/>
        </w:rPr>
        <w:t xml:space="preserve"> anche l’utilizzo di piattaforme blockchain per consentire forme di programmabilità dei pagamenti ancora più innovative sfruttando le caratteristiche degli </w:t>
      </w:r>
      <w:r w:rsidRPr="002C1078">
        <w:rPr>
          <w:b/>
          <w:bCs/>
          <w:color w:val="FF0000"/>
        </w:rPr>
        <w:t>smart contract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>
        <w:t xml:space="preserve">. </w:t>
      </w:r>
      <w:r w:rsidRPr="00834E84">
        <w:t xml:space="preserve">Questo tipo di programmabilità, nativamente integrata nelle piattaforme blockchain, </w:t>
      </w:r>
      <w:r>
        <w:t>consente</w:t>
      </w:r>
      <w:r w:rsidRPr="00834E84">
        <w:t xml:space="preserve"> </w:t>
      </w:r>
      <w:r>
        <w:t xml:space="preserve">a chiunque di abilitare </w:t>
      </w:r>
      <w:r w:rsidRPr="00834E84">
        <w:t xml:space="preserve">soluzioni come </w:t>
      </w:r>
      <w:r>
        <w:t>“</w:t>
      </w:r>
      <w:r w:rsidRPr="00834E84">
        <w:t>split payment</w:t>
      </w:r>
      <w:r>
        <w:t>”</w:t>
      </w:r>
      <w:r w:rsidRPr="00834E84">
        <w:t xml:space="preserve">, </w:t>
      </w:r>
      <w:r>
        <w:t>“</w:t>
      </w:r>
      <w:r w:rsidRPr="00834E84">
        <w:t>delivery versus payment</w:t>
      </w:r>
      <w:r>
        <w:t>”</w:t>
      </w:r>
      <w:r w:rsidRPr="00834E84">
        <w:t xml:space="preserve"> e </w:t>
      </w:r>
      <w:r>
        <w:t>“</w:t>
      </w:r>
      <w:r w:rsidRPr="00834E84">
        <w:t>time-</w:t>
      </w:r>
      <w:proofErr w:type="spellStart"/>
      <w:r w:rsidRPr="00834E84">
        <w:t>bound</w:t>
      </w:r>
      <w:proofErr w:type="spellEnd"/>
      <w:r w:rsidRPr="00834E84">
        <w:t xml:space="preserve"> automation</w:t>
      </w:r>
      <w:r>
        <w:t xml:space="preserve">”. Tutto ciò è inoltre possibile </w:t>
      </w:r>
      <w:r w:rsidRPr="00834E84">
        <w:t>senza la necessità di intermediari.</w:t>
      </w:r>
      <w:r>
        <w:t xml:space="preserve"> Q</w:t>
      </w:r>
      <w:r w:rsidRPr="00C30D81">
        <w:t>ueste funzionalità nel contesto del web3</w:t>
      </w:r>
      <w:r>
        <w:t xml:space="preserve"> </w:t>
      </w:r>
      <w:r w:rsidR="00C3735C">
        <w:t>rendono possibili</w:t>
      </w:r>
      <w:r>
        <w:t xml:space="preserve"> applicazioni innovative (come la DeFi e molto altro)</w:t>
      </w:r>
      <w:r w:rsidR="00C3735C">
        <w:t>;</w:t>
      </w:r>
      <w:r w:rsidRPr="00C30D81">
        <w:t xml:space="preserve"> i pagamenti programmabili diventano</w:t>
      </w:r>
      <w:r>
        <w:t xml:space="preserve"> infatti</w:t>
      </w:r>
      <w:r w:rsidRPr="00C30D81">
        <w:t xml:space="preserve"> strumenti potenti per ottimizzare le transazioni finanziarie, sfruttando la sicurezza e la trasparenza intrinseche della tecnologia blockchain.</w:t>
      </w:r>
    </w:p>
    <w:p w14:paraId="241C4D1D" w14:textId="2E8AD38B" w:rsidR="002965A8" w:rsidRDefault="00DD44A4" w:rsidP="00D57BDB">
      <w:pPr>
        <w:spacing w:after="120"/>
        <w:jc w:val="both"/>
      </w:pPr>
      <w:r w:rsidRPr="00C3735C">
        <w:rPr>
          <w:b/>
          <w:bCs/>
        </w:rPr>
        <w:t xml:space="preserve">Nel prossimo futuro </w:t>
      </w:r>
      <w:r w:rsidR="001269F7" w:rsidRPr="00C3735C">
        <w:rPr>
          <w:b/>
          <w:bCs/>
        </w:rPr>
        <w:t>s</w:t>
      </w:r>
      <w:r w:rsidRPr="00C3735C">
        <w:rPr>
          <w:b/>
          <w:bCs/>
        </w:rPr>
        <w:t xml:space="preserve">arà cruciale comprendere come </w:t>
      </w:r>
      <w:r w:rsidR="001269F7" w:rsidRPr="00C3735C">
        <w:rPr>
          <w:b/>
          <w:bCs/>
        </w:rPr>
        <w:t>cr</w:t>
      </w:r>
      <w:r w:rsidR="005C5D27" w:rsidRPr="00C3735C">
        <w:rPr>
          <w:b/>
          <w:bCs/>
        </w:rPr>
        <w:t>i</w:t>
      </w:r>
      <w:r w:rsidR="001269F7" w:rsidRPr="00C3735C">
        <w:rPr>
          <w:b/>
          <w:bCs/>
        </w:rPr>
        <w:t xml:space="preserve">ptovalute, stablecoin e CBDC </w:t>
      </w:r>
      <w:r w:rsidRPr="00C3735C">
        <w:rPr>
          <w:b/>
          <w:bCs/>
        </w:rPr>
        <w:t xml:space="preserve">si svilupperanno nel tempo, se </w:t>
      </w:r>
      <w:r w:rsidR="006E3540" w:rsidRPr="00C3735C">
        <w:rPr>
          <w:b/>
          <w:bCs/>
        </w:rPr>
        <w:t>in</w:t>
      </w:r>
      <w:r w:rsidRPr="00C3735C">
        <w:rPr>
          <w:b/>
          <w:bCs/>
        </w:rPr>
        <w:t xml:space="preserve"> competizione reciproca o seguendo logiche di integrazione nell'ambito del web3</w:t>
      </w:r>
      <w:r w:rsidRPr="00DD44A4">
        <w:t>.</w:t>
      </w:r>
    </w:p>
    <w:p w14:paraId="2DD86FAE" w14:textId="77777777" w:rsidR="00FC4ED0" w:rsidRPr="00C7617B" w:rsidRDefault="00FC4ED0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C7617B">
        <w:rPr>
          <w:color w:val="F89B61"/>
          <w:sz w:val="18"/>
          <w:szCs w:val="18"/>
          <w:lang w:val="en-US"/>
        </w:rPr>
        <w:t>&gt;&gt;&gt;&gt;</w:t>
      </w:r>
    </w:p>
    <w:p w14:paraId="63413A94" w14:textId="77777777" w:rsidR="00FC4ED0" w:rsidRPr="00C7617B" w:rsidRDefault="00FC4ED0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C7617B">
        <w:rPr>
          <w:color w:val="F89B61"/>
          <w:sz w:val="18"/>
          <w:szCs w:val="18"/>
          <w:lang w:val="en-US"/>
        </w:rPr>
        <w:t xml:space="preserve">REPORT </w:t>
      </w:r>
    </w:p>
    <w:p w14:paraId="7B8AB7E5" w14:textId="2D2ABBF5" w:rsidR="00D93BA9" w:rsidRPr="00C7617B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>
        <w:rPr>
          <w:color w:val="F89B61"/>
          <w:sz w:val="18"/>
          <w:szCs w:val="18"/>
          <w:lang w:val="en-US"/>
        </w:rPr>
        <w:t>CBDC</w:t>
      </w:r>
      <w:r w:rsidRPr="00D93BA9">
        <w:rPr>
          <w:color w:val="F89B61"/>
          <w:sz w:val="18"/>
          <w:szCs w:val="18"/>
          <w:lang w:val="en-US"/>
        </w:rPr>
        <w:t xml:space="preserve">s: development and future scenarios </w:t>
      </w:r>
    </w:p>
    <w:p w14:paraId="08F83E11" w14:textId="323377E1" w:rsidR="00FC4ED0" w:rsidRPr="00C7617B" w:rsidRDefault="00FC4ED0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C7617B">
        <w:rPr>
          <w:color w:val="F89B61"/>
          <w:sz w:val="18"/>
          <w:szCs w:val="18"/>
          <w:lang w:val="en-US"/>
        </w:rPr>
        <w:t>[https://www.osservatori.net/en/products/formats/report/cbdcs-development-future-scenarios-report]</w:t>
      </w:r>
    </w:p>
    <w:p w14:paraId="3671C50E" w14:textId="77777777" w:rsidR="00FC4ED0" w:rsidRDefault="00FC4ED0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>
        <w:rPr>
          <w:color w:val="F89B61"/>
          <w:sz w:val="18"/>
          <w:szCs w:val="18"/>
        </w:rPr>
        <w:t>&gt;&gt;&gt;&gt;</w:t>
      </w:r>
    </w:p>
    <w:p w14:paraId="0BB42D46" w14:textId="77777777" w:rsidR="00107E4D" w:rsidRPr="00672CA1" w:rsidRDefault="00107E4D" w:rsidP="00D57BDB">
      <w:pPr>
        <w:jc w:val="both"/>
      </w:pPr>
    </w:p>
    <w:p w14:paraId="00000060" w14:textId="74FEF694" w:rsidR="0076699A" w:rsidRDefault="000B17DD" w:rsidP="00D57BDB">
      <w:pPr>
        <w:pStyle w:val="Heading2"/>
        <w:jc w:val="both"/>
      </w:pPr>
      <w:bookmarkStart w:id="3" w:name="_Toc155273386"/>
      <w:r>
        <w:t xml:space="preserve">Blockchain for business: </w:t>
      </w:r>
      <w:r w:rsidR="004B124C">
        <w:t xml:space="preserve">la spinta </w:t>
      </w:r>
      <w:r w:rsidR="00151358">
        <w:t>della tokenizzazione</w:t>
      </w:r>
      <w:bookmarkEnd w:id="3"/>
    </w:p>
    <w:p w14:paraId="58EE6783" w14:textId="77777777" w:rsidR="005C4C0E" w:rsidRDefault="005C4C0E" w:rsidP="00D57BDB">
      <w:pPr>
        <w:jc w:val="both"/>
      </w:pPr>
    </w:p>
    <w:p w14:paraId="59334E3D" w14:textId="7C2D629E" w:rsidR="00CF54F4" w:rsidRDefault="005C4C0E" w:rsidP="00D57BDB">
      <w:pPr>
        <w:jc w:val="both"/>
      </w:pPr>
      <w:r w:rsidRPr="00A95197">
        <w:t xml:space="preserve">I progetti </w:t>
      </w:r>
      <w:r w:rsidRPr="00A95197">
        <w:rPr>
          <w:i/>
          <w:iCs/>
        </w:rPr>
        <w:t xml:space="preserve">Blockchain for </w:t>
      </w:r>
      <w:r w:rsidR="008C7B67" w:rsidRPr="00A95197">
        <w:rPr>
          <w:i/>
          <w:iCs/>
        </w:rPr>
        <w:t>b</w:t>
      </w:r>
      <w:r w:rsidRPr="00A95197">
        <w:rPr>
          <w:i/>
          <w:iCs/>
        </w:rPr>
        <w:t>usiness</w:t>
      </w:r>
      <w:r w:rsidRPr="00A95197">
        <w:t xml:space="preserve"> mirano a ottimizzare i processi aziendali attraverso strumenti come </w:t>
      </w:r>
      <w:r w:rsidRPr="00A95197">
        <w:rPr>
          <w:color w:val="FF0000"/>
        </w:rPr>
        <w:t>token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Pr="00A95197">
        <w:rPr>
          <w:color w:val="FF0000"/>
        </w:rPr>
        <w:t xml:space="preserve"> </w:t>
      </w:r>
      <w:r w:rsidRPr="00A95197">
        <w:t>e smart contract</w:t>
      </w:r>
      <w:r w:rsidRPr="00BE2A0F">
        <w:t xml:space="preserve">. </w:t>
      </w:r>
      <w:r w:rsidR="00CE30DB" w:rsidRPr="00A95197">
        <w:rPr>
          <w:b/>
          <w:bCs/>
        </w:rPr>
        <w:t>Questo settore</w:t>
      </w:r>
      <w:r w:rsidR="005C1412" w:rsidRPr="00A95197">
        <w:rPr>
          <w:b/>
          <w:bCs/>
        </w:rPr>
        <w:t xml:space="preserve"> </w:t>
      </w:r>
      <w:r w:rsidR="009E1824" w:rsidRPr="00A95197">
        <w:rPr>
          <w:b/>
          <w:bCs/>
        </w:rPr>
        <w:t xml:space="preserve">continua a </w:t>
      </w:r>
      <w:r w:rsidR="005C1412" w:rsidRPr="00A95197">
        <w:rPr>
          <w:b/>
          <w:bCs/>
        </w:rPr>
        <w:t>rappresenta</w:t>
      </w:r>
      <w:r w:rsidR="009E1824" w:rsidRPr="00A95197">
        <w:rPr>
          <w:b/>
          <w:bCs/>
        </w:rPr>
        <w:t>re</w:t>
      </w:r>
      <w:r w:rsidR="005C1412" w:rsidRPr="00A95197">
        <w:rPr>
          <w:b/>
          <w:bCs/>
        </w:rPr>
        <w:t xml:space="preserve"> </w:t>
      </w:r>
      <w:r w:rsidR="00CE30DB" w:rsidRPr="00A95197">
        <w:rPr>
          <w:b/>
          <w:bCs/>
        </w:rPr>
        <w:t>quello con il maggior numero di progetti sviluppati dalle</w:t>
      </w:r>
      <w:r w:rsidR="005C1412" w:rsidRPr="00A95197">
        <w:rPr>
          <w:b/>
          <w:bCs/>
        </w:rPr>
        <w:t xml:space="preserve"> aziende, </w:t>
      </w:r>
      <w:r w:rsidR="00CE30DB" w:rsidRPr="00A95197">
        <w:rPr>
          <w:b/>
          <w:bCs/>
        </w:rPr>
        <w:t>106 nel 2023</w:t>
      </w:r>
      <w:r w:rsidR="001269F7" w:rsidRPr="00A95197">
        <w:rPr>
          <w:b/>
          <w:bCs/>
        </w:rPr>
        <w:t xml:space="preserve"> (36%)</w:t>
      </w:r>
      <w:r w:rsidR="00CE30DB" w:rsidRPr="00A95197">
        <w:rPr>
          <w:b/>
          <w:bCs/>
        </w:rPr>
        <w:t xml:space="preserve">, </w:t>
      </w:r>
      <w:r w:rsidR="009E1824" w:rsidRPr="00A95197">
        <w:rPr>
          <w:b/>
          <w:bCs/>
        </w:rPr>
        <w:t>con una crescita</w:t>
      </w:r>
      <w:r w:rsidRPr="00A95197">
        <w:rPr>
          <w:b/>
          <w:bCs/>
        </w:rPr>
        <w:t xml:space="preserve"> </w:t>
      </w:r>
      <w:r w:rsidR="009E1824" w:rsidRPr="00A95197">
        <w:rPr>
          <w:b/>
          <w:bCs/>
        </w:rPr>
        <w:t xml:space="preserve">registrata </w:t>
      </w:r>
      <w:r w:rsidR="00CE30DB" w:rsidRPr="00A95197">
        <w:rPr>
          <w:b/>
          <w:bCs/>
        </w:rPr>
        <w:t>rispetto al 2022 del +58%.</w:t>
      </w:r>
    </w:p>
    <w:p w14:paraId="4F51DF6D" w14:textId="77777777" w:rsidR="005C1412" w:rsidRDefault="005C1412" w:rsidP="00D57BDB">
      <w:pPr>
        <w:jc w:val="both"/>
      </w:pPr>
    </w:p>
    <w:p w14:paraId="39D7AD25" w14:textId="11023165" w:rsidR="00A41F51" w:rsidRDefault="00F356B2" w:rsidP="00D57BDB">
      <w:pPr>
        <w:jc w:val="both"/>
      </w:pPr>
      <w:r>
        <w:rPr>
          <w:b/>
          <w:bCs/>
        </w:rPr>
        <w:t xml:space="preserve">Tale </w:t>
      </w:r>
      <w:r w:rsidR="008C7B67">
        <w:rPr>
          <w:b/>
          <w:bCs/>
        </w:rPr>
        <w:t>incremento</w:t>
      </w:r>
      <w:r>
        <w:rPr>
          <w:b/>
          <w:bCs/>
        </w:rPr>
        <w:t xml:space="preserve"> si osserva nonostante i</w:t>
      </w:r>
      <w:r w:rsidR="005C1412" w:rsidRPr="005C1412">
        <w:rPr>
          <w:b/>
          <w:bCs/>
        </w:rPr>
        <w:t xml:space="preserve"> grandi progetti di ecosistema</w:t>
      </w:r>
      <w:r w:rsidR="00FD4111">
        <w:rPr>
          <w:b/>
          <w:bCs/>
        </w:rPr>
        <w:t xml:space="preserve"> che avevano caratterizzato i</w:t>
      </w:r>
      <w:r w:rsidR="009F5002">
        <w:rPr>
          <w:b/>
          <w:bCs/>
        </w:rPr>
        <w:t>l settore</w:t>
      </w:r>
      <w:r w:rsidR="00FD4111">
        <w:rPr>
          <w:b/>
          <w:bCs/>
        </w:rPr>
        <w:t xml:space="preserve"> </w:t>
      </w:r>
      <w:r w:rsidR="00FD4111">
        <w:rPr>
          <w:b/>
          <w:bCs/>
          <w:i/>
          <w:iCs/>
        </w:rPr>
        <w:t>B</w:t>
      </w:r>
      <w:r w:rsidR="00FD4111" w:rsidRPr="00FD4111">
        <w:rPr>
          <w:b/>
          <w:bCs/>
          <w:i/>
          <w:iCs/>
        </w:rPr>
        <w:t>lockchain for business</w:t>
      </w:r>
      <w:r w:rsidR="00FD4111">
        <w:rPr>
          <w:b/>
          <w:bCs/>
        </w:rPr>
        <w:t xml:space="preserve"> in passato</w:t>
      </w:r>
      <w:r w:rsidR="004E42B6">
        <w:rPr>
          <w:b/>
          <w:bCs/>
        </w:rPr>
        <w:t>,</w:t>
      </w:r>
      <w:r w:rsidR="005C1412" w:rsidRPr="005C1412">
        <w:rPr>
          <w:b/>
          <w:bCs/>
        </w:rPr>
        <w:t xml:space="preserve"> </w:t>
      </w:r>
      <w:r w:rsidR="009F5002">
        <w:rPr>
          <w:b/>
          <w:bCs/>
        </w:rPr>
        <w:t>continuino a riscontrare difficoltà</w:t>
      </w:r>
      <w:r w:rsidR="005C1412">
        <w:t xml:space="preserve">. </w:t>
      </w:r>
      <w:r w:rsidR="009F5002">
        <w:t>Già</w:t>
      </w:r>
      <w:r w:rsidR="00CC4A64" w:rsidRPr="00CC4A64">
        <w:t xml:space="preserve"> </w:t>
      </w:r>
      <w:r w:rsidR="009F5002">
        <w:t>nel</w:t>
      </w:r>
      <w:r w:rsidR="00CC4A64" w:rsidRPr="00CC4A64">
        <w:t xml:space="preserve"> 2022 diverse iniziative di rilievo come TradeLens e B3i erano state interrotte</w:t>
      </w:r>
      <w:r w:rsidR="00A41F51" w:rsidRPr="00A41F51">
        <w:t xml:space="preserve">. </w:t>
      </w:r>
      <w:r w:rsidR="00A41F51">
        <w:t xml:space="preserve">Anche </w:t>
      </w:r>
      <w:r w:rsidR="009F5002">
        <w:t>nel 2023</w:t>
      </w:r>
      <w:r w:rsidR="00A41F51" w:rsidRPr="00A41F51">
        <w:t xml:space="preserve">, </w:t>
      </w:r>
      <w:r w:rsidR="001269F7">
        <w:t xml:space="preserve">alcuni </w:t>
      </w:r>
      <w:r w:rsidR="00CC4A64" w:rsidRPr="00CC4A64">
        <w:t xml:space="preserve">progetti </w:t>
      </w:r>
      <w:r w:rsidR="009F5002">
        <w:t>ha</w:t>
      </w:r>
      <w:r w:rsidR="000D00FF">
        <w:t>nno</w:t>
      </w:r>
      <w:r w:rsidR="009F5002">
        <w:t xml:space="preserve"> dovuto affrontare</w:t>
      </w:r>
      <w:r w:rsidR="00CC4A64" w:rsidRPr="00CC4A64">
        <w:t xml:space="preserve"> </w:t>
      </w:r>
      <w:r w:rsidR="000D00FF">
        <w:t xml:space="preserve">nuove </w:t>
      </w:r>
      <w:r w:rsidR="00CC4A64" w:rsidRPr="00CC4A64">
        <w:t xml:space="preserve">sfide legate al mantenimento </w:t>
      </w:r>
      <w:r w:rsidR="009F5002">
        <w:t>delle relazioni tra gli attori coinvolti</w:t>
      </w:r>
      <w:r w:rsidR="00CC4A64" w:rsidRPr="00CC4A64">
        <w:t xml:space="preserve"> o </w:t>
      </w:r>
      <w:r w:rsidR="009F5002">
        <w:t>al</w:t>
      </w:r>
      <w:r w:rsidR="00CC4A64" w:rsidRPr="00CC4A64">
        <w:t>l'insostenibilità economica</w:t>
      </w:r>
      <w:r w:rsidR="00A41F51" w:rsidRPr="00A41F51">
        <w:t>.</w:t>
      </w:r>
      <w:r w:rsidR="005D448A">
        <w:t xml:space="preserve"> </w:t>
      </w:r>
      <w:r w:rsidR="00D03D70">
        <w:t>Le</w:t>
      </w:r>
      <w:r w:rsidR="005D448A" w:rsidRPr="005D448A">
        <w:t xml:space="preserve"> </w:t>
      </w:r>
      <w:r w:rsidR="005D448A">
        <w:t>problematiche</w:t>
      </w:r>
      <w:r w:rsidR="005D448A" w:rsidRPr="005D448A">
        <w:t xml:space="preserve"> sono state accentuate da un contesto macroeconomico </w:t>
      </w:r>
      <w:r w:rsidR="009F5002">
        <w:t>sfavorevole</w:t>
      </w:r>
      <w:r w:rsidR="000B38D5">
        <w:t xml:space="preserve"> che </w:t>
      </w:r>
      <w:r w:rsidR="005D448A" w:rsidRPr="005D448A">
        <w:t xml:space="preserve">ha influito </w:t>
      </w:r>
      <w:r w:rsidR="009F5002">
        <w:t>anche su</w:t>
      </w:r>
      <w:r w:rsidR="005D448A" w:rsidRPr="005D448A">
        <w:t xml:space="preserve"> </w:t>
      </w:r>
      <w:r w:rsidR="009F5002">
        <w:t>d</w:t>
      </w:r>
      <w:r w:rsidR="005D448A" w:rsidRPr="005D448A">
        <w:t>ivers</w:t>
      </w:r>
      <w:r w:rsidR="00565968">
        <w:t xml:space="preserve">i progetti </w:t>
      </w:r>
      <w:r w:rsidR="009F5002">
        <w:t xml:space="preserve">blockchain </w:t>
      </w:r>
      <w:r w:rsidR="005D448A" w:rsidRPr="005D448A">
        <w:t>di ecosistema</w:t>
      </w:r>
      <w:r w:rsidR="000D00FF">
        <w:t xml:space="preserve"> come </w:t>
      </w:r>
      <w:proofErr w:type="spellStart"/>
      <w:r w:rsidR="00277189" w:rsidRPr="005D448A">
        <w:t>Contour</w:t>
      </w:r>
      <w:proofErr w:type="spellEnd"/>
      <w:r w:rsidR="00277189" w:rsidRPr="005D448A">
        <w:t xml:space="preserve"> e Marco Polo</w:t>
      </w:r>
      <w:r w:rsidR="00277189">
        <w:t xml:space="preserve">, </w:t>
      </w:r>
      <w:r w:rsidR="009F5002">
        <w:t xml:space="preserve">che </w:t>
      </w:r>
      <w:r w:rsidR="00D510EC">
        <w:t xml:space="preserve">hanno fallito la raccolta di </w:t>
      </w:r>
      <w:r w:rsidR="00D510EC" w:rsidRPr="005D448A">
        <w:t>nuovi round di finanziamento</w:t>
      </w:r>
      <w:r w:rsidR="005D448A" w:rsidRPr="005D448A">
        <w:t xml:space="preserve"> </w:t>
      </w:r>
      <w:r w:rsidR="00D510EC">
        <w:t>e sono stati chiusi per</w:t>
      </w:r>
      <w:r w:rsidR="005D448A" w:rsidRPr="005D448A">
        <w:t xml:space="preserve"> insolvenza.</w:t>
      </w:r>
    </w:p>
    <w:p w14:paraId="3A88A85C" w14:textId="77777777" w:rsidR="00F729FB" w:rsidRDefault="00F729FB" w:rsidP="00D57BDB">
      <w:pPr>
        <w:jc w:val="both"/>
      </w:pPr>
    </w:p>
    <w:p w14:paraId="0E5BD81D" w14:textId="742D3BAF" w:rsidR="00D93BA9" w:rsidRDefault="00B66D73" w:rsidP="00D57BDB">
      <w:pPr>
        <w:jc w:val="both"/>
      </w:pPr>
      <w:r>
        <w:t xml:space="preserve">La crescita di questo settore è principalmente attribuibile alle numerose aziende che hanno sviluppato progetti di </w:t>
      </w:r>
      <w:r w:rsidRPr="004E42B6">
        <w:rPr>
          <w:color w:val="FF0000"/>
        </w:rPr>
        <w:t>tokenizzazione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>
        <w:t xml:space="preserve"> per innovare i propri processi aziendali </w:t>
      </w:r>
      <w:r w:rsidR="00F356B2">
        <w:t>(</w:t>
      </w:r>
      <w:r w:rsidR="000D00FF">
        <w:t>55</w:t>
      </w:r>
      <w:r w:rsidR="0000509E">
        <w:t xml:space="preserve"> progetti </w:t>
      </w:r>
      <w:r w:rsidR="00F356B2">
        <w:t>solo nel 2023)</w:t>
      </w:r>
      <w:r w:rsidR="0000509E">
        <w:t xml:space="preserve">. </w:t>
      </w:r>
      <w:r w:rsidR="00101E2B" w:rsidRPr="00CC4A64">
        <w:rPr>
          <w:b/>
          <w:bCs/>
        </w:rPr>
        <w:t xml:space="preserve">Il settore finanziario </w:t>
      </w:r>
      <w:r w:rsidR="00101E2B">
        <w:rPr>
          <w:b/>
          <w:bCs/>
        </w:rPr>
        <w:t>è quello che nel 2023 ha esemplificato meglio</w:t>
      </w:r>
      <w:r w:rsidR="00101E2B" w:rsidRPr="00CC4A64">
        <w:rPr>
          <w:b/>
          <w:bCs/>
        </w:rPr>
        <w:t xml:space="preserve"> l’impatto dei token nei progetti </w:t>
      </w:r>
      <w:r w:rsidR="00101E2B" w:rsidRPr="000E3D26">
        <w:rPr>
          <w:b/>
          <w:bCs/>
          <w:i/>
          <w:iCs/>
        </w:rPr>
        <w:t>Blockchain for business</w:t>
      </w:r>
      <w:r w:rsidR="00101E2B" w:rsidRPr="00CC4A64">
        <w:rPr>
          <w:b/>
          <w:bCs/>
        </w:rPr>
        <w:t xml:space="preserve">, </w:t>
      </w:r>
      <w:r w:rsidR="00101E2B">
        <w:rPr>
          <w:b/>
          <w:bCs/>
        </w:rPr>
        <w:t>generando</w:t>
      </w:r>
      <w:r w:rsidR="00101E2B" w:rsidRPr="00CC4A64">
        <w:rPr>
          <w:b/>
          <w:bCs/>
        </w:rPr>
        <w:t xml:space="preserve"> </w:t>
      </w:r>
      <w:r w:rsidR="00101E2B">
        <w:rPr>
          <w:b/>
          <w:bCs/>
        </w:rPr>
        <w:t xml:space="preserve">efficienze e creando </w:t>
      </w:r>
      <w:r w:rsidR="00101E2B" w:rsidRPr="00CC4A64">
        <w:rPr>
          <w:b/>
          <w:bCs/>
        </w:rPr>
        <w:t>nuovi ruoli di mercato</w:t>
      </w:r>
      <w:r w:rsidR="00101E2B">
        <w:t xml:space="preserve">. </w:t>
      </w:r>
      <w:r>
        <w:t>Tra questi emergono</w:t>
      </w:r>
      <w:r w:rsidRPr="000330FD">
        <w:t xml:space="preserve"> i casi nel settore finanziario</w:t>
      </w:r>
      <w:r>
        <w:t xml:space="preserve">, dove sempre </w:t>
      </w:r>
      <w:r w:rsidRPr="000E3D26">
        <w:t>più attori di spicco a livello internazionale e italiano</w:t>
      </w:r>
      <w:r>
        <w:t>,</w:t>
      </w:r>
      <w:r w:rsidRPr="000E3D26">
        <w:t xml:space="preserve"> </w:t>
      </w:r>
      <w:r>
        <w:t xml:space="preserve">come </w:t>
      </w:r>
      <w:r w:rsidRPr="000E3D26">
        <w:t>Mediobanca o Crédit Agricole Italia</w:t>
      </w:r>
      <w:r>
        <w:t>,</w:t>
      </w:r>
      <w:r w:rsidRPr="000E3D26">
        <w:t xml:space="preserve"> hanno</w:t>
      </w:r>
      <w:r>
        <w:t xml:space="preserve"> emesso </w:t>
      </w:r>
      <w:r w:rsidRPr="000330FD">
        <w:t xml:space="preserve">obbligazioni, </w:t>
      </w:r>
      <w:r>
        <w:t>NPL</w:t>
      </w:r>
      <w:r>
        <w:rPr>
          <w:rStyle w:val="FootnoteReference"/>
        </w:rPr>
        <w:footnoteReference w:id="11"/>
      </w:r>
      <w:r w:rsidRPr="000330FD">
        <w:t xml:space="preserve"> o quote di fondi</w:t>
      </w:r>
      <w:r>
        <w:t xml:space="preserve"> </w:t>
      </w:r>
      <w:proofErr w:type="spellStart"/>
      <w:r>
        <w:t>tokenizzati</w:t>
      </w:r>
      <w:proofErr w:type="spellEnd"/>
      <w:r>
        <w:t xml:space="preserve"> </w:t>
      </w:r>
      <w:r w:rsidRPr="005C4C0E">
        <w:t>per migliorare l</w:t>
      </w:r>
      <w:r w:rsidR="00CE30DB">
        <w:t>’</w:t>
      </w:r>
      <w:r w:rsidRPr="005C4C0E">
        <w:t>efficienza dei processi, ridurre i rischi di controparte e accedere a maggiore liquidità</w:t>
      </w:r>
      <w:r>
        <w:t>. Anche importanti società di borsa</w:t>
      </w:r>
      <w:r w:rsidR="00CE30DB">
        <w:t>,</w:t>
      </w:r>
      <w:r>
        <w:t xml:space="preserve"> come </w:t>
      </w:r>
      <w:r w:rsidR="00101E2B" w:rsidRPr="000330FD">
        <w:t>London Stock Exchange</w:t>
      </w:r>
      <w:r w:rsidR="00101E2B">
        <w:t xml:space="preserve"> Group </w:t>
      </w:r>
      <w:r w:rsidR="00101E2B" w:rsidRPr="000330FD">
        <w:t xml:space="preserve">e </w:t>
      </w:r>
      <w:proofErr w:type="spellStart"/>
      <w:r w:rsidR="00101E2B" w:rsidRPr="000330FD">
        <w:t>Boerse</w:t>
      </w:r>
      <w:proofErr w:type="spellEnd"/>
      <w:r w:rsidR="00101E2B" w:rsidRPr="000330FD">
        <w:t xml:space="preserve"> Stuttgart Digital, hanno annunciato nuovi marketplace</w:t>
      </w:r>
      <w:r w:rsidR="00101E2B">
        <w:t xml:space="preserve"> digitali </w:t>
      </w:r>
      <w:r w:rsidR="00101E2B" w:rsidRPr="000330FD">
        <w:t xml:space="preserve">dedicati alle securities </w:t>
      </w:r>
      <w:proofErr w:type="spellStart"/>
      <w:r w:rsidR="00101E2B" w:rsidRPr="000330FD">
        <w:t>tokenizzate</w:t>
      </w:r>
      <w:proofErr w:type="spellEnd"/>
      <w:r w:rsidR="00101E2B" w:rsidRPr="000330FD">
        <w:t xml:space="preserve"> seguendo </w:t>
      </w:r>
      <w:r w:rsidR="00101E2B">
        <w:t>il modello</w:t>
      </w:r>
      <w:r w:rsidR="00101E2B" w:rsidRPr="000330FD">
        <w:t xml:space="preserve"> di SDX</w:t>
      </w:r>
      <w:r w:rsidR="00101E2B">
        <w:t>,</w:t>
      </w:r>
      <w:r w:rsidR="00101E2B" w:rsidRPr="000330FD">
        <w:t xml:space="preserve"> </w:t>
      </w:r>
      <w:r w:rsidR="00101E2B">
        <w:t xml:space="preserve">già attivo </w:t>
      </w:r>
      <w:r w:rsidR="00101E2B" w:rsidRPr="000330FD">
        <w:t>in Svizzera</w:t>
      </w:r>
      <w:r>
        <w:t xml:space="preserve">. </w:t>
      </w:r>
      <w:r w:rsidR="00BE2A0F">
        <w:t>A</w:t>
      </w:r>
      <w:r w:rsidR="00101E2B">
        <w:t>ltri player</w:t>
      </w:r>
      <w:r w:rsidR="00101E2B" w:rsidRPr="000330FD">
        <w:t xml:space="preserve"> istituzionali </w:t>
      </w:r>
      <w:r w:rsidR="00101E2B">
        <w:t>hanno</w:t>
      </w:r>
      <w:r w:rsidR="00BE2A0F">
        <w:t xml:space="preserve"> poi</w:t>
      </w:r>
      <w:r w:rsidR="00101E2B">
        <w:t xml:space="preserve"> sviluppato </w:t>
      </w:r>
      <w:r w:rsidR="00101E2B" w:rsidRPr="000330FD">
        <w:t>piattaforme di tokenizzazione</w:t>
      </w:r>
      <w:r w:rsidR="00101E2B">
        <w:t>,</w:t>
      </w:r>
      <w:r w:rsidR="00101E2B" w:rsidRPr="000330FD">
        <w:t xml:space="preserve"> come</w:t>
      </w:r>
      <w:r w:rsidR="00101E2B">
        <w:t xml:space="preserve"> il </w:t>
      </w:r>
      <w:proofErr w:type="spellStart"/>
      <w:r w:rsidR="00101E2B" w:rsidRPr="000330FD">
        <w:t>Tokenized</w:t>
      </w:r>
      <w:proofErr w:type="spellEnd"/>
      <w:r w:rsidR="00101E2B" w:rsidRPr="000330FD">
        <w:t xml:space="preserve"> </w:t>
      </w:r>
      <w:proofErr w:type="spellStart"/>
      <w:r w:rsidR="00101E2B" w:rsidRPr="000330FD">
        <w:t>Collateral</w:t>
      </w:r>
      <w:proofErr w:type="spellEnd"/>
      <w:r w:rsidR="00101E2B" w:rsidRPr="000330FD">
        <w:t xml:space="preserve"> Network </w:t>
      </w:r>
      <w:r w:rsidR="00101E2B">
        <w:t>di</w:t>
      </w:r>
      <w:r w:rsidR="00101E2B" w:rsidRPr="000330FD">
        <w:t xml:space="preserve"> JP Morgan </w:t>
      </w:r>
      <w:r w:rsidR="00101E2B">
        <w:t>o</w:t>
      </w:r>
      <w:r w:rsidR="00101E2B" w:rsidRPr="000330FD">
        <w:t xml:space="preserve"> </w:t>
      </w:r>
      <w:r w:rsidR="00101E2B">
        <w:t xml:space="preserve">la piattaforma </w:t>
      </w:r>
      <w:proofErr w:type="spellStart"/>
      <w:r w:rsidR="00101E2B">
        <w:t>Tokenize</w:t>
      </w:r>
      <w:proofErr w:type="spellEnd"/>
      <w:r w:rsidR="00101E2B">
        <w:t xml:space="preserve"> di UBS</w:t>
      </w:r>
      <w:r w:rsidR="00101E2B" w:rsidRPr="000330FD">
        <w:t>.</w:t>
      </w:r>
    </w:p>
    <w:p w14:paraId="1C94A006" w14:textId="77777777" w:rsidR="00D93BA9" w:rsidRDefault="00D93BA9" w:rsidP="00D57BDB">
      <w:pPr>
        <w:jc w:val="both"/>
      </w:pPr>
    </w:p>
    <w:p w14:paraId="7B58007A" w14:textId="77777777" w:rsidR="00CD4D8D" w:rsidRDefault="00CD4D8D" w:rsidP="00D57BDB">
      <w:pPr>
        <w:jc w:val="both"/>
      </w:pPr>
    </w:p>
    <w:p w14:paraId="6B4D127A" w14:textId="77777777" w:rsidR="00CD4D8D" w:rsidRDefault="00CD4D8D" w:rsidP="00D57BDB">
      <w:pPr>
        <w:jc w:val="both"/>
      </w:pPr>
    </w:p>
    <w:p w14:paraId="6A39E678" w14:textId="77777777" w:rsidR="00D93BA9" w:rsidRPr="00BE2A0F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BE2A0F">
        <w:rPr>
          <w:color w:val="F89B61"/>
          <w:sz w:val="18"/>
          <w:szCs w:val="18"/>
          <w:lang w:val="en-US"/>
        </w:rPr>
        <w:t>&gt;&gt;&gt;&gt;</w:t>
      </w:r>
    </w:p>
    <w:p w14:paraId="4A4B89DF" w14:textId="77777777" w:rsidR="00D93BA9" w:rsidRPr="00BE2A0F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BE2A0F">
        <w:rPr>
          <w:color w:val="F89B61"/>
          <w:sz w:val="18"/>
          <w:szCs w:val="18"/>
          <w:lang w:val="en-US"/>
        </w:rPr>
        <w:t xml:space="preserve">REPORT </w:t>
      </w:r>
    </w:p>
    <w:p w14:paraId="033F23C4" w14:textId="35909392" w:rsidR="00D93BA9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D93BA9">
        <w:rPr>
          <w:color w:val="F89B61"/>
          <w:sz w:val="18"/>
          <w:szCs w:val="18"/>
          <w:lang w:val="en-US"/>
        </w:rPr>
        <w:t xml:space="preserve">Blockchain for business projects: challenges and solutions </w:t>
      </w:r>
    </w:p>
    <w:p w14:paraId="2959C3F0" w14:textId="5C48B195" w:rsidR="00D93BA9" w:rsidRPr="00085DAE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  <w:lang w:val="en-US"/>
        </w:rPr>
      </w:pPr>
      <w:r w:rsidRPr="00085DAE">
        <w:rPr>
          <w:color w:val="F89B61"/>
          <w:sz w:val="18"/>
          <w:szCs w:val="18"/>
          <w:lang w:val="en-US"/>
        </w:rPr>
        <w:t>[</w:t>
      </w:r>
      <w:r w:rsidRPr="00D93BA9">
        <w:rPr>
          <w:color w:val="F89B61"/>
          <w:sz w:val="18"/>
          <w:szCs w:val="18"/>
          <w:lang w:val="en-US"/>
        </w:rPr>
        <w:t>https://www.osservatori.net/it/prodotti/formato/report/blockchain-business-projects-challenges-solutions-report</w:t>
      </w:r>
      <w:r w:rsidRPr="00085DAE">
        <w:rPr>
          <w:color w:val="F89B61"/>
          <w:sz w:val="18"/>
          <w:szCs w:val="18"/>
          <w:lang w:val="en-US"/>
        </w:rPr>
        <w:t>]</w:t>
      </w:r>
    </w:p>
    <w:p w14:paraId="73BE9CC9" w14:textId="77777777" w:rsidR="00D93BA9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>
        <w:rPr>
          <w:color w:val="F89B61"/>
          <w:sz w:val="18"/>
          <w:szCs w:val="18"/>
        </w:rPr>
        <w:t>&gt;&gt;&gt;&gt;</w:t>
      </w:r>
    </w:p>
    <w:p w14:paraId="3F49199F" w14:textId="77777777" w:rsidR="00CF23B8" w:rsidRDefault="00CF23B8" w:rsidP="00D57BDB">
      <w:pPr>
        <w:jc w:val="both"/>
        <w:rPr>
          <w:iCs/>
        </w:rPr>
      </w:pPr>
    </w:p>
    <w:p w14:paraId="662C30A3" w14:textId="77777777" w:rsidR="00CF23B8" w:rsidRPr="00BF6D23" w:rsidRDefault="00CF23B8" w:rsidP="00D57BDB">
      <w:pPr>
        <w:jc w:val="both"/>
        <w:rPr>
          <w:iCs/>
        </w:rPr>
      </w:pPr>
    </w:p>
    <w:p w14:paraId="0000006E" w14:textId="1486C869" w:rsidR="0076699A" w:rsidRDefault="000B17DD" w:rsidP="00D57BDB">
      <w:pPr>
        <w:pStyle w:val="Heading2"/>
        <w:jc w:val="both"/>
      </w:pPr>
      <w:bookmarkStart w:id="4" w:name="_Toc155273387"/>
      <w:r>
        <w:t xml:space="preserve">Decentralized web: </w:t>
      </w:r>
      <w:r w:rsidR="005209C0">
        <w:t xml:space="preserve">la </w:t>
      </w:r>
      <w:r w:rsidR="00143B86">
        <w:t xml:space="preserve">crescente </w:t>
      </w:r>
      <w:r w:rsidR="00854893">
        <w:t>maturità e</w:t>
      </w:r>
      <w:r w:rsidR="00151358">
        <w:t xml:space="preserve"> </w:t>
      </w:r>
      <w:r w:rsidR="005209C0">
        <w:t xml:space="preserve">le </w:t>
      </w:r>
      <w:r w:rsidR="00143B86">
        <w:t>prospettive di lungo periodo</w:t>
      </w:r>
      <w:bookmarkEnd w:id="4"/>
    </w:p>
    <w:p w14:paraId="00000075" w14:textId="77777777" w:rsidR="0076699A" w:rsidRDefault="0076699A" w:rsidP="00D57BDB">
      <w:pPr>
        <w:jc w:val="both"/>
      </w:pPr>
    </w:p>
    <w:p w14:paraId="03CB94B4" w14:textId="2A8B013E" w:rsidR="00143B86" w:rsidRDefault="00055154" w:rsidP="00D57BDB">
      <w:pPr>
        <w:jc w:val="both"/>
      </w:pPr>
      <w:r>
        <w:t xml:space="preserve">Nei </w:t>
      </w:r>
      <w:r w:rsidR="00E60494" w:rsidRPr="00572D66">
        <w:t xml:space="preserve">progetti </w:t>
      </w:r>
      <w:r w:rsidR="00E60494" w:rsidRPr="00572D66">
        <w:rPr>
          <w:i/>
        </w:rPr>
        <w:t>Decentralized web</w:t>
      </w:r>
      <w:r w:rsidR="00E60494" w:rsidRPr="00572D66">
        <w:t xml:space="preserve"> </w:t>
      </w:r>
      <w:r w:rsidR="007E2BD7">
        <w:t>l</w:t>
      </w:r>
      <w:r w:rsidR="007E2BD7" w:rsidRPr="007E2BD7">
        <w:t>a blockchain funge da piattaforma tecnologica per sviluppare</w:t>
      </w:r>
      <w:r w:rsidR="006C74D2">
        <w:t xml:space="preserve"> </w:t>
      </w:r>
      <w:r>
        <w:t xml:space="preserve">servizi innovativi </w:t>
      </w:r>
      <w:r w:rsidR="006C74D2">
        <w:t>più vicini</w:t>
      </w:r>
      <w:r w:rsidRPr="00572D66">
        <w:t xml:space="preserve"> al paradigma web3</w:t>
      </w:r>
      <w:r>
        <w:t xml:space="preserve">, come </w:t>
      </w:r>
      <w:r w:rsidR="006C74D2">
        <w:t xml:space="preserve">le </w:t>
      </w:r>
      <w:r w:rsidR="006C74D2" w:rsidRPr="007E2BD7">
        <w:t>applicazioni decentralizzate (DApp)</w:t>
      </w:r>
      <w:r w:rsidR="006C74D2">
        <w:t xml:space="preserve"> o i </w:t>
      </w:r>
      <w:r>
        <w:t>progetti legati a</w:t>
      </w:r>
      <w:r w:rsidR="0027016B">
        <w:t xml:space="preserve">i </w:t>
      </w:r>
      <w:r w:rsidR="0027016B" w:rsidRPr="008B3629">
        <w:rPr>
          <w:color w:val="FF0000"/>
        </w:rPr>
        <w:t>non-</w:t>
      </w:r>
      <w:proofErr w:type="spellStart"/>
      <w:r w:rsidR="0027016B" w:rsidRPr="008B3629">
        <w:rPr>
          <w:color w:val="FF0000"/>
        </w:rPr>
        <w:t>fungible</w:t>
      </w:r>
      <w:proofErr w:type="spellEnd"/>
      <w:r w:rsidR="0027016B" w:rsidRPr="008B3629">
        <w:rPr>
          <w:color w:val="FF0000"/>
        </w:rPr>
        <w:t xml:space="preserve"> token (NFT)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Pr="008B3629">
        <w:t>.</w:t>
      </w:r>
      <w:r w:rsidR="00A76180" w:rsidRPr="008B3629">
        <w:t xml:space="preserve"> </w:t>
      </w:r>
    </w:p>
    <w:p w14:paraId="51DA01E1" w14:textId="31BB5FA5" w:rsidR="00D15BE2" w:rsidRDefault="00055154" w:rsidP="00D57BDB">
      <w:pPr>
        <w:jc w:val="both"/>
      </w:pPr>
      <w:r w:rsidRPr="00395FA8">
        <w:rPr>
          <w:b/>
          <w:bCs/>
        </w:rPr>
        <w:t>Ne</w:t>
      </w:r>
      <w:r w:rsidR="00A76180" w:rsidRPr="00395FA8">
        <w:rPr>
          <w:b/>
          <w:bCs/>
        </w:rPr>
        <w:t>l</w:t>
      </w:r>
      <w:r w:rsidRPr="00395FA8">
        <w:rPr>
          <w:b/>
          <w:bCs/>
        </w:rPr>
        <w:t xml:space="preserve"> 2023</w:t>
      </w:r>
      <w:r w:rsidR="00B11368" w:rsidRPr="00395FA8">
        <w:rPr>
          <w:b/>
          <w:bCs/>
        </w:rPr>
        <w:t>,</w:t>
      </w:r>
      <w:r w:rsidRPr="00395FA8">
        <w:rPr>
          <w:b/>
          <w:bCs/>
        </w:rPr>
        <w:t xml:space="preserve"> </w:t>
      </w:r>
      <w:r w:rsidR="00845B72" w:rsidRPr="00395FA8">
        <w:rPr>
          <w:b/>
          <w:bCs/>
        </w:rPr>
        <w:t xml:space="preserve">anche questo settore ha continuato </w:t>
      </w:r>
      <w:r w:rsidR="00595A5F" w:rsidRPr="00395FA8">
        <w:rPr>
          <w:b/>
          <w:bCs/>
        </w:rPr>
        <w:t>ad evolversi,</w:t>
      </w:r>
      <w:r w:rsidR="00845B72" w:rsidRPr="00395FA8">
        <w:rPr>
          <w:b/>
          <w:bCs/>
        </w:rPr>
        <w:t xml:space="preserve"> </w:t>
      </w:r>
      <w:r w:rsidR="00B11368" w:rsidRPr="00395FA8">
        <w:rPr>
          <w:b/>
          <w:bCs/>
        </w:rPr>
        <w:t>registrando</w:t>
      </w:r>
      <w:r w:rsidR="00595A5F" w:rsidRPr="00395FA8">
        <w:rPr>
          <w:b/>
          <w:bCs/>
        </w:rPr>
        <w:t xml:space="preserve"> 96 nuovi cas</w:t>
      </w:r>
      <w:r w:rsidR="007275C8" w:rsidRPr="00395FA8">
        <w:rPr>
          <w:b/>
          <w:bCs/>
        </w:rPr>
        <w:t>i (32%)</w:t>
      </w:r>
      <w:r w:rsidR="00595A5F" w:rsidRPr="00395FA8">
        <w:rPr>
          <w:b/>
          <w:bCs/>
        </w:rPr>
        <w:t>, un numero in linea con quanto registrato nel 2022</w:t>
      </w:r>
      <w:r w:rsidR="00595A5F" w:rsidRPr="00BE2A0F">
        <w:t>. In continuità con il 2022 è anche l’utilizzo degli NFT</w:t>
      </w:r>
      <w:r w:rsidR="00B11368" w:rsidRPr="00BE2A0F">
        <w:t xml:space="preserve"> come strumento di innovazione. </w:t>
      </w:r>
      <w:r w:rsidR="00E34B8D" w:rsidRPr="00BE2A0F">
        <w:t xml:space="preserve">Se </w:t>
      </w:r>
      <w:r w:rsidR="00595A5F" w:rsidRPr="00BE2A0F">
        <w:t xml:space="preserve">però </w:t>
      </w:r>
      <w:r w:rsidR="00E34B8D" w:rsidRPr="00BE2A0F">
        <w:t xml:space="preserve">negli scorsi anni </w:t>
      </w:r>
      <w:r w:rsidR="00B11368" w:rsidRPr="00BE2A0F">
        <w:t>i</w:t>
      </w:r>
      <w:r w:rsidR="00E34B8D" w:rsidRPr="00BE2A0F">
        <w:t xml:space="preserve"> progetti</w:t>
      </w:r>
      <w:r w:rsidR="00B11368" w:rsidRPr="00BE2A0F">
        <w:t xml:space="preserve"> erano principalmente</w:t>
      </w:r>
      <w:r w:rsidR="00E34B8D">
        <w:t xml:space="preserve"> legati all</w:t>
      </w:r>
      <w:r w:rsidR="00B11368">
        <w:t>’</w:t>
      </w:r>
      <w:r w:rsidR="00E34B8D">
        <w:t xml:space="preserve">emissione di </w:t>
      </w:r>
      <w:proofErr w:type="spellStart"/>
      <w:r w:rsidR="00E34B8D">
        <w:t>digital</w:t>
      </w:r>
      <w:proofErr w:type="spellEnd"/>
      <w:r w:rsidR="00E34B8D">
        <w:t xml:space="preserve"> </w:t>
      </w:r>
      <w:proofErr w:type="spellStart"/>
      <w:r w:rsidR="00E34B8D" w:rsidRPr="008B3629">
        <w:rPr>
          <w:color w:val="FF0000"/>
        </w:rPr>
        <w:t>collectible</w:t>
      </w:r>
      <w:proofErr w:type="spellEnd"/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595A5F" w:rsidRPr="008B3629">
        <w:rPr>
          <w:color w:val="FF0000"/>
        </w:rPr>
        <w:t xml:space="preserve"> </w:t>
      </w:r>
      <w:r w:rsidR="00664F04">
        <w:t>–</w:t>
      </w:r>
      <w:r w:rsidR="00E34B8D">
        <w:t xml:space="preserve"> </w:t>
      </w:r>
      <w:r w:rsidR="00143B86" w:rsidRPr="00143B86">
        <w:t>spesso caratterizzati da un</w:t>
      </w:r>
      <w:r w:rsidR="00664F04">
        <w:t xml:space="preserve"> </w:t>
      </w:r>
      <w:r w:rsidR="00143B86" w:rsidRPr="00143B86">
        <w:t>approccio sperimentale e non necessariamente orientati a una visione a lungo termine</w:t>
      </w:r>
      <w:r w:rsidR="00664F04">
        <w:t xml:space="preserve"> –</w:t>
      </w:r>
      <w:r w:rsidR="00143B86" w:rsidRPr="00143B86">
        <w:t xml:space="preserve"> nell'ultimo anno si è </w:t>
      </w:r>
      <w:r w:rsidR="00B11368">
        <w:t>osservata</w:t>
      </w:r>
      <w:r w:rsidR="00143B86" w:rsidRPr="00143B86">
        <w:t xml:space="preserve"> una maggiore maturità </w:t>
      </w:r>
      <w:r w:rsidR="00B11368">
        <w:t>d</w:t>
      </w:r>
      <w:r w:rsidR="00143B86" w:rsidRPr="00143B86">
        <w:t>ei progetti realizzati.</w:t>
      </w:r>
      <w:r w:rsidR="00E34B8D">
        <w:t xml:space="preserve"> </w:t>
      </w:r>
    </w:p>
    <w:p w14:paraId="7BAFEEED" w14:textId="77777777" w:rsidR="00550090" w:rsidRDefault="00550090" w:rsidP="00D57BDB">
      <w:pPr>
        <w:jc w:val="both"/>
      </w:pPr>
    </w:p>
    <w:p w14:paraId="7B954907" w14:textId="7C5118A6" w:rsidR="00B11368" w:rsidRDefault="00710D6B" w:rsidP="00D57BDB">
      <w:pPr>
        <w:jc w:val="both"/>
      </w:pPr>
      <w:r>
        <w:rPr>
          <w:b/>
          <w:bCs/>
        </w:rPr>
        <w:t>G</w:t>
      </w:r>
      <w:r w:rsidR="00550090" w:rsidRPr="00550090">
        <w:rPr>
          <w:b/>
          <w:bCs/>
        </w:rPr>
        <w:t xml:space="preserve">li NFT </w:t>
      </w:r>
      <w:r w:rsidR="007275C8">
        <w:rPr>
          <w:b/>
          <w:bCs/>
        </w:rPr>
        <w:t>stanno diventando</w:t>
      </w:r>
      <w:r>
        <w:rPr>
          <w:b/>
          <w:bCs/>
        </w:rPr>
        <w:t xml:space="preserve"> catalizzator</w:t>
      </w:r>
      <w:r w:rsidR="00CE6609">
        <w:rPr>
          <w:b/>
          <w:bCs/>
        </w:rPr>
        <w:t>i</w:t>
      </w:r>
      <w:r w:rsidR="00550090" w:rsidRPr="00550090">
        <w:rPr>
          <w:b/>
          <w:bCs/>
        </w:rPr>
        <w:t xml:space="preserve"> di iniziative più ampie e strategiche per le aziende che decidono di utilizzarli</w:t>
      </w:r>
      <w:r w:rsidR="00550090">
        <w:t xml:space="preserve">. </w:t>
      </w:r>
      <w:r w:rsidR="00752089" w:rsidRPr="007E2BD7">
        <w:t xml:space="preserve">Un fenomeno notevole è rappresentato dalle iniziative che sfruttano gli NFT </w:t>
      </w:r>
      <w:r w:rsidR="00752089">
        <w:t xml:space="preserve">come </w:t>
      </w:r>
      <w:r w:rsidR="00752089" w:rsidRPr="007E2BD7">
        <w:t xml:space="preserve">strumenti di </w:t>
      </w:r>
      <w:r w:rsidR="00752089">
        <w:t>customer loyalty</w:t>
      </w:r>
      <w:r w:rsidR="00752089" w:rsidRPr="007E2BD7">
        <w:t xml:space="preserve"> </w:t>
      </w:r>
      <w:r w:rsidR="00CE6609">
        <w:t>a favore del</w:t>
      </w:r>
      <w:r w:rsidR="00752089" w:rsidRPr="007E2BD7">
        <w:t xml:space="preserve"> </w:t>
      </w:r>
      <w:proofErr w:type="gramStart"/>
      <w:r w:rsidR="00752089">
        <w:t>brand</w:t>
      </w:r>
      <w:proofErr w:type="gramEnd"/>
      <w:r w:rsidR="00752089" w:rsidRPr="007E2BD7">
        <w:t xml:space="preserve"> di riferimento. Esempi significativi includono Starbucks </w:t>
      </w:r>
      <w:proofErr w:type="spellStart"/>
      <w:r w:rsidR="00752089" w:rsidRPr="007E2BD7">
        <w:t>Odyssey</w:t>
      </w:r>
      <w:proofErr w:type="spellEnd"/>
      <w:r w:rsidR="00752089" w:rsidRPr="007E2BD7">
        <w:t xml:space="preserve"> e il più recente progetto </w:t>
      </w:r>
      <w:proofErr w:type="spellStart"/>
      <w:r w:rsidR="00752089">
        <w:t>Uptrip</w:t>
      </w:r>
      <w:proofErr w:type="spellEnd"/>
      <w:r w:rsidR="00752089">
        <w:t xml:space="preserve"> </w:t>
      </w:r>
      <w:r w:rsidR="00752089" w:rsidRPr="007E2BD7">
        <w:t>di Lufthansa.</w:t>
      </w:r>
      <w:r w:rsidR="00B11368">
        <w:t xml:space="preserve"> </w:t>
      </w:r>
      <w:r w:rsidR="00CE6609">
        <w:rPr>
          <w:b/>
          <w:bCs/>
        </w:rPr>
        <w:t>Nel 2023 sono emers</w:t>
      </w:r>
      <w:r w:rsidR="00F843D7">
        <w:rPr>
          <w:b/>
          <w:bCs/>
        </w:rPr>
        <w:t>i</w:t>
      </w:r>
      <w:r w:rsidR="00CE6609">
        <w:rPr>
          <w:b/>
          <w:bCs/>
        </w:rPr>
        <w:t xml:space="preserve"> anche </w:t>
      </w:r>
      <w:r w:rsidR="00B11368" w:rsidRPr="00F96D07">
        <w:rPr>
          <w:b/>
          <w:bCs/>
        </w:rPr>
        <w:t>nuov</w:t>
      </w:r>
      <w:r w:rsidR="00CE6609">
        <w:rPr>
          <w:b/>
          <w:bCs/>
        </w:rPr>
        <w:t>i progetti</w:t>
      </w:r>
      <w:r w:rsidR="00B11368" w:rsidRPr="00F96D07">
        <w:rPr>
          <w:b/>
          <w:bCs/>
        </w:rPr>
        <w:t xml:space="preserve"> che sfruttano </w:t>
      </w:r>
      <w:r w:rsidR="00B11368">
        <w:rPr>
          <w:b/>
          <w:bCs/>
        </w:rPr>
        <w:t>gli NFT come strumento abilitante</w:t>
      </w:r>
      <w:r w:rsidR="00B11368" w:rsidRPr="00F96D07">
        <w:rPr>
          <w:b/>
          <w:bCs/>
        </w:rPr>
        <w:t xml:space="preserve"> per creare </w:t>
      </w:r>
      <w:r w:rsidR="00CE6609">
        <w:rPr>
          <w:b/>
          <w:bCs/>
        </w:rPr>
        <w:t xml:space="preserve">nuove </w:t>
      </w:r>
      <w:r w:rsidR="00B11368" w:rsidRPr="00F96D07">
        <w:rPr>
          <w:b/>
          <w:bCs/>
        </w:rPr>
        <w:t xml:space="preserve">community </w:t>
      </w:r>
      <w:r w:rsidR="00B11368">
        <w:rPr>
          <w:b/>
          <w:bCs/>
        </w:rPr>
        <w:t>online</w:t>
      </w:r>
      <w:r w:rsidR="00B11368" w:rsidRPr="003D273A">
        <w:t>.</w:t>
      </w:r>
      <w:r w:rsidR="00B11368">
        <w:t xml:space="preserve"> Ad esempio, </w:t>
      </w:r>
      <w:proofErr w:type="spellStart"/>
      <w:r w:rsidR="00B11368" w:rsidRPr="003F0142">
        <w:t>Shopify</w:t>
      </w:r>
      <w:proofErr w:type="spellEnd"/>
      <w:r w:rsidR="00B11368">
        <w:t xml:space="preserve"> sta sperimentando degli e-commerce </w:t>
      </w:r>
      <w:r w:rsidR="00B11368" w:rsidRPr="004E42B6">
        <w:rPr>
          <w:color w:val="FF0000"/>
        </w:rPr>
        <w:t>token-</w:t>
      </w:r>
      <w:proofErr w:type="spellStart"/>
      <w:r w:rsidR="00B11368" w:rsidRPr="004E42B6">
        <w:rPr>
          <w:color w:val="FF0000"/>
        </w:rPr>
        <w:t>gated</w:t>
      </w:r>
      <w:proofErr w:type="spellEnd"/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="00B11368">
        <w:t xml:space="preserve">, </w:t>
      </w:r>
      <w:r w:rsidR="00B11368" w:rsidRPr="008E52D1">
        <w:t>che consent</w:t>
      </w:r>
      <w:r w:rsidR="00B11368">
        <w:t>ono</w:t>
      </w:r>
      <w:r w:rsidR="00B11368" w:rsidRPr="008E52D1">
        <w:t xml:space="preserve"> ai </w:t>
      </w:r>
      <w:proofErr w:type="gramStart"/>
      <w:r w:rsidR="00B11368" w:rsidRPr="008E52D1">
        <w:t>brand</w:t>
      </w:r>
      <w:proofErr w:type="gramEnd"/>
      <w:r w:rsidR="00B11368" w:rsidRPr="008E52D1">
        <w:t xml:space="preserve"> di offrire promozioni</w:t>
      </w:r>
      <w:r w:rsidR="006B5E2A">
        <w:t>,</w:t>
      </w:r>
      <w:r w:rsidR="00B11368" w:rsidRPr="008E52D1">
        <w:t xml:space="preserve"> prodotti esclusivi o l'accesso </w:t>
      </w:r>
      <w:r w:rsidR="006B5E2A">
        <w:t>anticipato</w:t>
      </w:r>
      <w:r w:rsidR="00B11368" w:rsidRPr="008E52D1">
        <w:t xml:space="preserve"> </w:t>
      </w:r>
      <w:r w:rsidR="006B5E2A">
        <w:t>ai</w:t>
      </w:r>
      <w:r w:rsidR="00B11368" w:rsidRPr="008E52D1">
        <w:t xml:space="preserve"> nuovi prodotti esclusivamente ai possessori di determinati</w:t>
      </w:r>
      <w:r w:rsidR="00B11368">
        <w:t xml:space="preserve"> NFT, </w:t>
      </w:r>
      <w:r w:rsidR="00395FA8">
        <w:t xml:space="preserve">premiando </w:t>
      </w:r>
      <w:r w:rsidR="00B11368">
        <w:t xml:space="preserve">così i clienti più fedeli </w:t>
      </w:r>
      <w:r w:rsidR="00395FA8">
        <w:t xml:space="preserve">e </w:t>
      </w:r>
      <w:r w:rsidR="00B11368">
        <w:t xml:space="preserve">creando un senso di comunità ed esclusività. </w:t>
      </w:r>
      <w:r w:rsidR="00B11368" w:rsidRPr="008E52D1">
        <w:t>Un'</w:t>
      </w:r>
      <w:r w:rsidR="00B11368">
        <w:t xml:space="preserve">altra </w:t>
      </w:r>
      <w:r w:rsidR="00B11368" w:rsidRPr="008E52D1">
        <w:t xml:space="preserve">iniziativa </w:t>
      </w:r>
      <w:r w:rsidR="00B11368">
        <w:t>riguarda</w:t>
      </w:r>
      <w:r w:rsidR="00B11368" w:rsidRPr="008E52D1">
        <w:t xml:space="preserve"> le playlist token-</w:t>
      </w:r>
      <w:proofErr w:type="spellStart"/>
      <w:r w:rsidR="00B11368" w:rsidRPr="008E52D1">
        <w:t>gated</w:t>
      </w:r>
      <w:proofErr w:type="spellEnd"/>
      <w:r w:rsidR="00B11368" w:rsidRPr="008E52D1">
        <w:t xml:space="preserve"> che Spotify sta testando, riservate esclusivamente ai </w:t>
      </w:r>
      <w:r w:rsidR="00B11368">
        <w:t>partecipanti</w:t>
      </w:r>
      <w:r w:rsidR="00B11368" w:rsidRPr="008E52D1">
        <w:t xml:space="preserve"> di progetti NFT come Overlord e </w:t>
      </w:r>
      <w:proofErr w:type="spellStart"/>
      <w:r w:rsidR="00B11368" w:rsidRPr="008E52D1">
        <w:t>Kingship</w:t>
      </w:r>
      <w:proofErr w:type="spellEnd"/>
      <w:r w:rsidR="00B11368" w:rsidRPr="008E52D1">
        <w:t xml:space="preserve">. </w:t>
      </w:r>
    </w:p>
    <w:p w14:paraId="412BB515" w14:textId="77777777" w:rsidR="004871D6" w:rsidRDefault="004871D6" w:rsidP="00D57BDB">
      <w:pPr>
        <w:jc w:val="both"/>
      </w:pPr>
    </w:p>
    <w:p w14:paraId="271629C6" w14:textId="16DDA273" w:rsidR="000F2E51" w:rsidRDefault="004100C2" w:rsidP="00D57BDB">
      <w:pPr>
        <w:jc w:val="both"/>
      </w:pPr>
      <w:r w:rsidRPr="004100C2">
        <w:t xml:space="preserve">Tali iniziative potrebbero in futuro agevolare un coinvolgimento ancora più profondo degli utenti, consentendo loro di interagire direttamente con i </w:t>
      </w:r>
      <w:proofErr w:type="gramStart"/>
      <w:r w:rsidRPr="004100C2">
        <w:t>brand</w:t>
      </w:r>
      <w:proofErr w:type="gramEnd"/>
      <w:r w:rsidRPr="004100C2">
        <w:t xml:space="preserve"> attraverso community partecipative. Questo utilizzo potrebbe adottare modelli basati sul concetto di </w:t>
      </w:r>
      <w:r w:rsidRPr="000E752C">
        <w:rPr>
          <w:color w:val="FF0000"/>
        </w:rPr>
        <w:t xml:space="preserve">Decentralized </w:t>
      </w:r>
      <w:proofErr w:type="spellStart"/>
      <w:r w:rsidRPr="000E752C">
        <w:rPr>
          <w:color w:val="FF0000"/>
        </w:rPr>
        <w:t>Autonomous</w:t>
      </w:r>
      <w:proofErr w:type="spellEnd"/>
      <w:r w:rsidRPr="000E752C">
        <w:rPr>
          <w:color w:val="FF0000"/>
        </w:rPr>
        <w:t xml:space="preserve"> Organization (DAO)</w:t>
      </w:r>
      <w:r w:rsidR="00CC422E">
        <w:rPr>
          <w:rFonts w:ascii="Apple Color Emoji" w:eastAsia="Noto Sans Symbols" w:hAnsi="Apple Color Emoji" w:cs="Apple Color Emoji"/>
          <w:color w:val="FF0000"/>
          <w:sz w:val="16"/>
          <w:szCs w:val="16"/>
        </w:rPr>
        <w:t>👓</w:t>
      </w:r>
      <w:r w:rsidRPr="000E752C">
        <w:rPr>
          <w:color w:val="FF0000"/>
        </w:rPr>
        <w:t xml:space="preserve"> </w:t>
      </w:r>
      <w:r w:rsidRPr="004100C2">
        <w:t>attualmente impiegati in diverse DApp, ma che ancora faticano ad essere adottati dalle organizzazioni tradizionali.</w:t>
      </w:r>
    </w:p>
    <w:p w14:paraId="39F087A8" w14:textId="77777777" w:rsidR="00C405D7" w:rsidRDefault="00C405D7" w:rsidP="00D57BDB">
      <w:pPr>
        <w:jc w:val="both"/>
      </w:pPr>
    </w:p>
    <w:p w14:paraId="0000008D" w14:textId="59D11399" w:rsidR="0076699A" w:rsidRDefault="0063340C" w:rsidP="00D57BDB">
      <w:pPr>
        <w:jc w:val="both"/>
      </w:pPr>
      <w:r w:rsidRPr="00664F04">
        <w:rPr>
          <w:b/>
          <w:bCs/>
        </w:rPr>
        <w:t>Con l'attenuarsi dell'hype mediatico sugli NFT</w:t>
      </w:r>
      <w:r w:rsidR="00C405D7" w:rsidRPr="00664F04">
        <w:rPr>
          <w:b/>
          <w:bCs/>
        </w:rPr>
        <w:t xml:space="preserve">, </w:t>
      </w:r>
      <w:r w:rsidRPr="00664F04">
        <w:rPr>
          <w:b/>
          <w:bCs/>
        </w:rPr>
        <w:t xml:space="preserve">le aziende tradizionali </w:t>
      </w:r>
      <w:r w:rsidR="004100C2">
        <w:rPr>
          <w:b/>
          <w:bCs/>
        </w:rPr>
        <w:t>possono</w:t>
      </w:r>
      <w:r w:rsidRPr="00664F04">
        <w:rPr>
          <w:b/>
          <w:bCs/>
        </w:rPr>
        <w:t xml:space="preserve"> ora </w:t>
      </w:r>
      <w:r w:rsidR="004100C2">
        <w:rPr>
          <w:b/>
          <w:bCs/>
        </w:rPr>
        <w:t>concentrarsi sull’</w:t>
      </w:r>
      <w:r w:rsidRPr="00664F04">
        <w:rPr>
          <w:b/>
          <w:bCs/>
        </w:rPr>
        <w:t>integra</w:t>
      </w:r>
      <w:r w:rsidR="004100C2">
        <w:rPr>
          <w:b/>
          <w:bCs/>
        </w:rPr>
        <w:t>zione</w:t>
      </w:r>
      <w:r w:rsidRPr="00664F04">
        <w:rPr>
          <w:b/>
          <w:bCs/>
        </w:rPr>
        <w:t xml:space="preserve"> </w:t>
      </w:r>
      <w:r w:rsidR="004100C2">
        <w:rPr>
          <w:b/>
          <w:bCs/>
        </w:rPr>
        <w:t>de</w:t>
      </w:r>
      <w:r w:rsidRPr="00664F04">
        <w:rPr>
          <w:b/>
          <w:bCs/>
        </w:rPr>
        <w:t>gli strumenti web3</w:t>
      </w:r>
      <w:r w:rsidR="007505F3">
        <w:rPr>
          <w:b/>
          <w:bCs/>
        </w:rPr>
        <w:t xml:space="preserve"> nelle proprie offerte</w:t>
      </w:r>
      <w:r w:rsidR="007E15EC" w:rsidRPr="00664F04">
        <w:rPr>
          <w:b/>
          <w:bCs/>
        </w:rPr>
        <w:t xml:space="preserve"> e </w:t>
      </w:r>
      <w:r w:rsidRPr="00664F04">
        <w:rPr>
          <w:b/>
          <w:bCs/>
        </w:rPr>
        <w:t>sviluppa</w:t>
      </w:r>
      <w:r w:rsidR="007E15EC" w:rsidRPr="00664F04">
        <w:rPr>
          <w:b/>
          <w:bCs/>
        </w:rPr>
        <w:t>re</w:t>
      </w:r>
      <w:r w:rsidRPr="00664F04">
        <w:rPr>
          <w:b/>
          <w:bCs/>
        </w:rPr>
        <w:t xml:space="preserve"> strategie di lungo periodo</w:t>
      </w:r>
      <w:r w:rsidR="00C7678C" w:rsidRPr="00664F04">
        <w:rPr>
          <w:b/>
          <w:bCs/>
        </w:rPr>
        <w:t xml:space="preserve"> per creare iniziative di successo</w:t>
      </w:r>
      <w:r w:rsidRPr="0063340C">
        <w:t xml:space="preserve">, </w:t>
      </w:r>
      <w:r w:rsidR="00752089">
        <w:t>anche</w:t>
      </w:r>
      <w:r w:rsidRPr="0063340C">
        <w:t xml:space="preserve"> in collaborazione con attori nativi dell'ecosistema. </w:t>
      </w:r>
      <w:r w:rsidR="004100C2">
        <w:t>È necessario</w:t>
      </w:r>
      <w:r w:rsidRPr="0063340C">
        <w:t xml:space="preserve"> superare l'approccio a breve termine basato sul</w:t>
      </w:r>
      <w:r w:rsidR="00D93C45">
        <w:t xml:space="preserve"> clamore</w:t>
      </w:r>
      <w:r w:rsidRPr="0063340C">
        <w:t xml:space="preserve"> mediatico </w:t>
      </w:r>
      <w:r w:rsidR="007E15EC">
        <w:t>delle nuove tecnologie</w:t>
      </w:r>
      <w:r>
        <w:t xml:space="preserve">, </w:t>
      </w:r>
      <w:r w:rsidR="00C405D7" w:rsidRPr="00C405D7">
        <w:t xml:space="preserve">ponendo invece l'attenzione sulle opportunità </w:t>
      </w:r>
      <w:r w:rsidR="004100C2">
        <w:t>che questi</w:t>
      </w:r>
      <w:r w:rsidR="00C405D7" w:rsidRPr="00C405D7">
        <w:t xml:space="preserve"> strumenti</w:t>
      </w:r>
      <w:r w:rsidR="004100C2">
        <w:t xml:space="preserve"> stanno </w:t>
      </w:r>
      <w:r>
        <w:t>gradualmente delineando</w:t>
      </w:r>
      <w:r w:rsidR="00C405D7" w:rsidRPr="00C405D7">
        <w:t>.</w:t>
      </w:r>
    </w:p>
    <w:p w14:paraId="3E743773" w14:textId="77777777" w:rsidR="007275C8" w:rsidRDefault="007275C8" w:rsidP="00D57BDB">
      <w:pPr>
        <w:jc w:val="both"/>
      </w:pPr>
    </w:p>
    <w:p w14:paraId="73E4886E" w14:textId="394A0E18" w:rsidR="007275C8" w:rsidRDefault="00F843D7" w:rsidP="00D57BDB">
      <w:pPr>
        <w:jc w:val="both"/>
      </w:pPr>
      <w:r w:rsidRPr="00CC422E">
        <w:rPr>
          <w:b/>
          <w:bCs/>
        </w:rPr>
        <w:t>Saranno necessari alcuni anni affinché il pieno sviluppo del web3 diventi una realtà,</w:t>
      </w:r>
      <w:r w:rsidR="007275C8" w:rsidRPr="00CC422E">
        <w:rPr>
          <w:b/>
          <w:bCs/>
        </w:rPr>
        <w:t xml:space="preserve"> abilitato da una </w:t>
      </w:r>
      <w:r w:rsidRPr="00CC422E">
        <w:rPr>
          <w:b/>
          <w:bCs/>
        </w:rPr>
        <w:t>sinergia</w:t>
      </w:r>
      <w:r w:rsidR="007275C8" w:rsidRPr="00CC422E">
        <w:rPr>
          <w:b/>
          <w:bCs/>
        </w:rPr>
        <w:t xml:space="preserve"> </w:t>
      </w:r>
      <w:r w:rsidRPr="00CC422E">
        <w:rPr>
          <w:b/>
          <w:bCs/>
        </w:rPr>
        <w:t>tra</w:t>
      </w:r>
      <w:r w:rsidR="007275C8" w:rsidRPr="00CC422E">
        <w:rPr>
          <w:b/>
          <w:bCs/>
        </w:rPr>
        <w:t xml:space="preserve"> progetti </w:t>
      </w:r>
      <w:r w:rsidR="007275C8" w:rsidRPr="00CC422E">
        <w:rPr>
          <w:b/>
          <w:bCs/>
          <w:i/>
          <w:iCs/>
        </w:rPr>
        <w:t>IoV</w:t>
      </w:r>
      <w:r w:rsidR="007275C8" w:rsidRPr="00CC422E">
        <w:rPr>
          <w:b/>
          <w:bCs/>
        </w:rPr>
        <w:t xml:space="preserve">, </w:t>
      </w:r>
      <w:r w:rsidRPr="00CC422E">
        <w:rPr>
          <w:b/>
          <w:bCs/>
          <w:i/>
          <w:iCs/>
        </w:rPr>
        <w:t>B</w:t>
      </w:r>
      <w:r w:rsidR="007275C8" w:rsidRPr="00CC422E">
        <w:rPr>
          <w:b/>
          <w:bCs/>
          <w:i/>
          <w:iCs/>
        </w:rPr>
        <w:t>lockchain for business</w:t>
      </w:r>
      <w:r w:rsidR="007275C8" w:rsidRPr="00CC422E">
        <w:rPr>
          <w:b/>
          <w:bCs/>
        </w:rPr>
        <w:t xml:space="preserve"> e </w:t>
      </w:r>
      <w:r w:rsidRPr="00CC422E">
        <w:rPr>
          <w:b/>
          <w:bCs/>
          <w:i/>
          <w:iCs/>
        </w:rPr>
        <w:t>D</w:t>
      </w:r>
      <w:r w:rsidR="007275C8" w:rsidRPr="00CC422E">
        <w:rPr>
          <w:b/>
          <w:bCs/>
          <w:i/>
          <w:iCs/>
        </w:rPr>
        <w:t>ecentrali</w:t>
      </w:r>
      <w:r w:rsidRPr="00CC422E">
        <w:rPr>
          <w:b/>
          <w:bCs/>
          <w:i/>
          <w:iCs/>
        </w:rPr>
        <w:t>z</w:t>
      </w:r>
      <w:r w:rsidR="007275C8" w:rsidRPr="00CC422E">
        <w:rPr>
          <w:b/>
          <w:bCs/>
          <w:i/>
          <w:iCs/>
        </w:rPr>
        <w:t>ed web</w:t>
      </w:r>
      <w:r w:rsidR="007275C8" w:rsidRPr="00CC422E">
        <w:rPr>
          <w:b/>
          <w:bCs/>
        </w:rPr>
        <w:t xml:space="preserve"> promossi sia da aziende tradizionali </w:t>
      </w:r>
      <w:r w:rsidRPr="00CC422E">
        <w:rPr>
          <w:b/>
          <w:bCs/>
        </w:rPr>
        <w:t>sia</w:t>
      </w:r>
      <w:r w:rsidR="007275C8" w:rsidRPr="00CC422E">
        <w:rPr>
          <w:b/>
          <w:bCs/>
        </w:rPr>
        <w:t xml:space="preserve"> </w:t>
      </w:r>
      <w:r w:rsidR="00BE2A0F" w:rsidRPr="00CC422E">
        <w:rPr>
          <w:b/>
          <w:bCs/>
        </w:rPr>
        <w:t>da “crypto</w:t>
      </w:r>
      <w:r w:rsidR="007275C8" w:rsidRPr="00CC422E">
        <w:rPr>
          <w:b/>
          <w:bCs/>
        </w:rPr>
        <w:t>-native</w:t>
      </w:r>
      <w:r w:rsidR="00BE2A0F" w:rsidRPr="00CC422E">
        <w:rPr>
          <w:b/>
          <w:bCs/>
        </w:rPr>
        <w:t>”</w:t>
      </w:r>
      <w:r w:rsidRPr="00CC422E">
        <w:rPr>
          <w:b/>
          <w:bCs/>
        </w:rPr>
        <w:t>,</w:t>
      </w:r>
      <w:r w:rsidR="007275C8" w:rsidRPr="00CC422E">
        <w:rPr>
          <w:b/>
          <w:bCs/>
        </w:rPr>
        <w:t xml:space="preserve"> sotto l’occhio vigile de</w:t>
      </w:r>
      <w:r w:rsidRPr="00CC422E">
        <w:rPr>
          <w:b/>
          <w:bCs/>
        </w:rPr>
        <w:t>i</w:t>
      </w:r>
      <w:r w:rsidR="007275C8" w:rsidRPr="00CC422E">
        <w:rPr>
          <w:b/>
          <w:bCs/>
        </w:rPr>
        <w:t xml:space="preserve"> regolator</w:t>
      </w:r>
      <w:r w:rsidRPr="00CC422E">
        <w:rPr>
          <w:b/>
          <w:bCs/>
        </w:rPr>
        <w:t>i</w:t>
      </w:r>
      <w:r w:rsidR="007275C8" w:rsidRPr="00CC422E">
        <w:rPr>
          <w:b/>
          <w:bCs/>
        </w:rPr>
        <w:t xml:space="preserve"> mondial</w:t>
      </w:r>
      <w:r w:rsidRPr="00CC422E">
        <w:rPr>
          <w:b/>
          <w:bCs/>
        </w:rPr>
        <w:t>i</w:t>
      </w:r>
      <w:r w:rsidR="007275C8">
        <w:t>.</w:t>
      </w:r>
    </w:p>
    <w:p w14:paraId="3BE90AA1" w14:textId="1EE259FC" w:rsidR="00107E4D" w:rsidRDefault="00107E4D" w:rsidP="00D57BDB">
      <w:pPr>
        <w:jc w:val="both"/>
      </w:pPr>
    </w:p>
    <w:p w14:paraId="14732DF9" w14:textId="77777777" w:rsidR="00D93BA9" w:rsidRPr="00BE2A0F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 w:rsidRPr="00BE2A0F">
        <w:rPr>
          <w:color w:val="F89B61"/>
          <w:sz w:val="18"/>
          <w:szCs w:val="18"/>
        </w:rPr>
        <w:t>&gt;&gt;&gt;&gt;</w:t>
      </w:r>
    </w:p>
    <w:p w14:paraId="21B76660" w14:textId="77777777" w:rsidR="00D93BA9" w:rsidRPr="00BE2A0F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 w:rsidRPr="00BE2A0F">
        <w:rPr>
          <w:color w:val="F89B61"/>
          <w:sz w:val="18"/>
          <w:szCs w:val="18"/>
        </w:rPr>
        <w:t xml:space="preserve">REPORT </w:t>
      </w:r>
    </w:p>
    <w:p w14:paraId="55FE5A5B" w14:textId="640256F8" w:rsidR="00D93BA9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 w:rsidRPr="00D93BA9">
        <w:rPr>
          <w:color w:val="F89B61"/>
          <w:sz w:val="18"/>
          <w:szCs w:val="18"/>
        </w:rPr>
        <w:t xml:space="preserve">Decentralized </w:t>
      </w:r>
      <w:proofErr w:type="spellStart"/>
      <w:r w:rsidRPr="00D93BA9">
        <w:rPr>
          <w:color w:val="F89B61"/>
          <w:sz w:val="18"/>
          <w:szCs w:val="18"/>
        </w:rPr>
        <w:t>Autonomous</w:t>
      </w:r>
      <w:proofErr w:type="spellEnd"/>
      <w:r w:rsidRPr="00D93BA9">
        <w:rPr>
          <w:color w:val="F89B61"/>
          <w:sz w:val="18"/>
          <w:szCs w:val="18"/>
        </w:rPr>
        <w:t xml:space="preserve"> </w:t>
      </w:r>
      <w:proofErr w:type="spellStart"/>
      <w:r w:rsidRPr="00D93BA9">
        <w:rPr>
          <w:color w:val="F89B61"/>
          <w:sz w:val="18"/>
          <w:szCs w:val="18"/>
        </w:rPr>
        <w:t>Organizations</w:t>
      </w:r>
      <w:proofErr w:type="spellEnd"/>
      <w:r w:rsidRPr="00D93BA9">
        <w:rPr>
          <w:color w:val="F89B61"/>
          <w:sz w:val="18"/>
          <w:szCs w:val="18"/>
        </w:rPr>
        <w:t xml:space="preserve"> (</w:t>
      </w:r>
      <w:proofErr w:type="spellStart"/>
      <w:r>
        <w:rPr>
          <w:color w:val="F89B61"/>
          <w:sz w:val="18"/>
          <w:szCs w:val="18"/>
        </w:rPr>
        <w:t>DAOs</w:t>
      </w:r>
      <w:proofErr w:type="spellEnd"/>
      <w:r w:rsidRPr="00D93BA9">
        <w:rPr>
          <w:color w:val="F89B61"/>
          <w:sz w:val="18"/>
          <w:szCs w:val="18"/>
        </w:rPr>
        <w:t xml:space="preserve">): caratteristiche e possibili use case in ambito aziendale </w:t>
      </w:r>
    </w:p>
    <w:p w14:paraId="766215BF" w14:textId="7A3A5C2D" w:rsidR="00D93BA9" w:rsidRPr="00BE2A0F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 w:rsidRPr="00BE2A0F">
        <w:rPr>
          <w:color w:val="F89B61"/>
          <w:sz w:val="18"/>
          <w:szCs w:val="18"/>
        </w:rPr>
        <w:t>[</w:t>
      </w:r>
      <w:r w:rsidRPr="00D93BA9">
        <w:rPr>
          <w:color w:val="F89B61"/>
          <w:sz w:val="18"/>
          <w:szCs w:val="18"/>
        </w:rPr>
        <w:t>https://www.osservatori.net/it/prodotti/formato/report/decentralized-autonomous-organizations-daos-caratteristiche-possibili-use-case-ambito-aziendale-report</w:t>
      </w:r>
      <w:r w:rsidRPr="00BE2A0F">
        <w:rPr>
          <w:color w:val="F89B61"/>
          <w:sz w:val="18"/>
          <w:szCs w:val="18"/>
        </w:rPr>
        <w:t>]</w:t>
      </w:r>
    </w:p>
    <w:p w14:paraId="2BE93DD1" w14:textId="77777777" w:rsidR="00D93BA9" w:rsidRDefault="00D93BA9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8"/>
          <w:szCs w:val="18"/>
        </w:rPr>
      </w:pPr>
      <w:r>
        <w:rPr>
          <w:color w:val="F89B61"/>
          <w:sz w:val="18"/>
          <w:szCs w:val="18"/>
        </w:rPr>
        <w:t>&gt;&gt;&gt;&gt;</w:t>
      </w:r>
    </w:p>
    <w:p w14:paraId="322C7CFE" w14:textId="77777777" w:rsidR="00D93BA9" w:rsidRDefault="00D93BA9" w:rsidP="00D57BDB">
      <w:pPr>
        <w:jc w:val="both"/>
      </w:pPr>
    </w:p>
    <w:p w14:paraId="306518F0" w14:textId="77777777" w:rsidR="00276BFF" w:rsidRDefault="00276BFF" w:rsidP="00D57BDB">
      <w:pPr>
        <w:pStyle w:val="Heading2"/>
        <w:jc w:val="both"/>
      </w:pPr>
      <w:bookmarkStart w:id="5" w:name="_Toc155273388"/>
    </w:p>
    <w:p w14:paraId="442FAB7E" w14:textId="77777777" w:rsidR="00276BFF" w:rsidRDefault="00276BFF" w:rsidP="00D57BDB">
      <w:pPr>
        <w:pStyle w:val="Heading2"/>
        <w:jc w:val="both"/>
      </w:pPr>
    </w:p>
    <w:p w14:paraId="0000008F" w14:textId="317A843B" w:rsidR="0076699A" w:rsidRPr="007168E5" w:rsidRDefault="000B17DD" w:rsidP="00D57BDB">
      <w:pPr>
        <w:pStyle w:val="Heading2"/>
        <w:jc w:val="both"/>
      </w:pPr>
      <w:r>
        <w:t xml:space="preserve">Il mercato italiano: </w:t>
      </w:r>
      <w:r w:rsidR="007F07BF">
        <w:t>l’adozione rimane stabile</w:t>
      </w:r>
      <w:r w:rsidR="00DC0DB6">
        <w:t xml:space="preserve"> tra</w:t>
      </w:r>
      <w:r>
        <w:t xml:space="preserve"> aziende e consumatori</w:t>
      </w:r>
      <w:bookmarkEnd w:id="5"/>
    </w:p>
    <w:p w14:paraId="523A750F" w14:textId="77777777" w:rsidR="00EB1CCC" w:rsidRDefault="00EB1CCC" w:rsidP="00D57BDB">
      <w:pPr>
        <w:jc w:val="both"/>
      </w:pPr>
    </w:p>
    <w:p w14:paraId="26DC44A8" w14:textId="38584CE6" w:rsidR="00726C57" w:rsidRDefault="00012126" w:rsidP="00D57BDB">
      <w:pPr>
        <w:jc w:val="both"/>
      </w:pPr>
      <w:r w:rsidRPr="00C840D1">
        <w:rPr>
          <w:b/>
          <w:bCs/>
        </w:rPr>
        <w:t>Come nel resto del mondo, anche</w:t>
      </w:r>
      <w:r w:rsidR="00FF1012" w:rsidRPr="00C840D1">
        <w:rPr>
          <w:b/>
          <w:bCs/>
        </w:rPr>
        <w:t xml:space="preserve"> in Italia la </w:t>
      </w:r>
      <w:r w:rsidR="00726C57" w:rsidRPr="00C840D1">
        <w:rPr>
          <w:b/>
          <w:bCs/>
        </w:rPr>
        <w:t>normativa</w:t>
      </w:r>
      <w:r w:rsidR="00FF1012" w:rsidRPr="00C840D1">
        <w:rPr>
          <w:b/>
          <w:bCs/>
        </w:rPr>
        <w:t xml:space="preserve"> </w:t>
      </w:r>
      <w:r w:rsidR="008B74AB" w:rsidRPr="00C840D1">
        <w:rPr>
          <w:b/>
          <w:bCs/>
        </w:rPr>
        <w:t>ha fatto progressi significativi</w:t>
      </w:r>
      <w:r w:rsidR="008B74AB">
        <w:t>.</w:t>
      </w:r>
      <w:r w:rsidR="00726C57" w:rsidRPr="00107E4D">
        <w:t xml:space="preserve"> </w:t>
      </w:r>
      <w:r w:rsidR="008B74AB">
        <w:t>L</w:t>
      </w:r>
      <w:r w:rsidR="00726C57" w:rsidRPr="00107E4D">
        <w:t>a Legge di Bilancio 2023 ha delineato un regime fiscale specifico per le criptovalute e ulteriori sforzi sono stati compiuti per regolarizzare patrimoni in criptovalute precedentemente non dichiarati</w:t>
      </w:r>
      <w:r w:rsidR="00726C57" w:rsidRPr="00601C6E">
        <w:t xml:space="preserve">. </w:t>
      </w:r>
      <w:r w:rsidR="00FF1012">
        <w:t>Il</w:t>
      </w:r>
      <w:r w:rsidR="00FF1012" w:rsidRPr="00FF1012">
        <w:t xml:space="preserve"> “decreto fintech”</w:t>
      </w:r>
      <w:r w:rsidR="00FF1012">
        <w:t xml:space="preserve"> </w:t>
      </w:r>
      <w:r w:rsidR="00BE2A0F">
        <w:t xml:space="preserve">è stato realizzato </w:t>
      </w:r>
      <w:r w:rsidR="00FF1012">
        <w:t>invece</w:t>
      </w:r>
      <w:r w:rsidR="00BE2A0F">
        <w:t xml:space="preserve"> con</w:t>
      </w:r>
      <w:r w:rsidR="00FF1012">
        <w:t xml:space="preserve"> </w:t>
      </w:r>
      <w:r w:rsidR="00E14688">
        <w:t xml:space="preserve">l’obiettivo di adattare </w:t>
      </w:r>
      <w:r w:rsidR="00BE2A0F">
        <w:t xml:space="preserve">il </w:t>
      </w:r>
      <w:r w:rsidR="00BE2A0F" w:rsidRPr="00FF1012">
        <w:t>quadro</w:t>
      </w:r>
      <w:r w:rsidR="00BE2A0F">
        <w:t xml:space="preserve"> </w:t>
      </w:r>
      <w:r w:rsidR="00FF1012" w:rsidRPr="00FF1012">
        <w:t xml:space="preserve">legislativo italiano </w:t>
      </w:r>
      <w:r w:rsidR="00E14688">
        <w:t xml:space="preserve">al DLT Pilot Regime, introducendo </w:t>
      </w:r>
      <w:r w:rsidR="00FF1012" w:rsidRPr="00FF1012">
        <w:t>misure relative all’emissione e alla circolazione di “strumenti finanziari digitali</w:t>
      </w:r>
      <w:r w:rsidR="00E14688">
        <w:t>”</w:t>
      </w:r>
      <w:r w:rsidR="00FF1012" w:rsidRPr="00FF1012">
        <w:t>, oltre a semplificazioni per l’esplorazione nel campo fintech.</w:t>
      </w:r>
      <w:r w:rsidR="00E14688">
        <w:t xml:space="preserve"> Inoltre, il “decreto Made in Italy” del MIMIT </w:t>
      </w:r>
      <w:r w:rsidR="00BE2A0F">
        <w:t>ha promosso</w:t>
      </w:r>
      <w:r w:rsidR="00E14688">
        <w:t xml:space="preserve"> le tecnologie DLT</w:t>
      </w:r>
      <w:r w:rsidR="00E14688" w:rsidRPr="00E14688">
        <w:t xml:space="preserve"> per la tracciabilità e la valorizzazione della filiera del Made in Italy</w:t>
      </w:r>
      <w:r w:rsidR="00E14688">
        <w:t xml:space="preserve">, attraverso </w:t>
      </w:r>
      <w:r w:rsidR="00E14688" w:rsidRPr="00E14688">
        <w:t xml:space="preserve">l'istituzione di un catalogo nazionale per il censimento delle soluzioni </w:t>
      </w:r>
      <w:r w:rsidR="00E14688">
        <w:t>b</w:t>
      </w:r>
      <w:r w:rsidR="00E14688" w:rsidRPr="00E14688">
        <w:t>lockchain conformi alle disposizioni del decreto legislativo del 14 dicembre 2018, n. 135</w:t>
      </w:r>
      <w:r w:rsidR="00E14688">
        <w:t xml:space="preserve"> </w:t>
      </w:r>
      <w:r w:rsidR="00E14688" w:rsidRPr="00E14688">
        <w:t>(sostegno e semplificazione per le imprese e per la pubblica amministrazione)</w:t>
      </w:r>
      <w:r w:rsidR="00E14688">
        <w:t>.</w:t>
      </w:r>
    </w:p>
    <w:p w14:paraId="37EAFD65" w14:textId="77777777" w:rsidR="00726C57" w:rsidRDefault="00726C57" w:rsidP="00D57BDB">
      <w:pPr>
        <w:jc w:val="both"/>
      </w:pPr>
    </w:p>
    <w:p w14:paraId="01058F4D" w14:textId="0E6DF414" w:rsidR="007275C8" w:rsidRDefault="00F97A68" w:rsidP="00D57BDB">
      <w:pPr>
        <w:jc w:val="both"/>
      </w:pPr>
      <w:r w:rsidRPr="00F97A68">
        <w:t xml:space="preserve">Dopo la crescita del 2022, </w:t>
      </w:r>
      <w:r w:rsidR="007275C8">
        <w:t xml:space="preserve">in Italia </w:t>
      </w:r>
      <w:r w:rsidR="006B5E2A">
        <w:t xml:space="preserve">questo </w:t>
      </w:r>
      <w:r w:rsidR="007275C8">
        <w:t>è stato un anno di attesa per il web3</w:t>
      </w:r>
      <w:r w:rsidR="006B5E2A">
        <w:t>,</w:t>
      </w:r>
      <w:r w:rsidR="007275C8">
        <w:t xml:space="preserve"> volt</w:t>
      </w:r>
      <w:r w:rsidR="004F4234">
        <w:t>o</w:t>
      </w:r>
      <w:r w:rsidR="007275C8">
        <w:t xml:space="preserve"> a </w:t>
      </w:r>
      <w:r w:rsidR="004F4234" w:rsidRPr="004F4234">
        <w:t xml:space="preserve">comprendere più a fondo come affrontare le sfide derivanti dai </w:t>
      </w:r>
      <w:r w:rsidR="004F4234">
        <w:t>passati</w:t>
      </w:r>
      <w:r w:rsidR="004F4234" w:rsidRPr="004F4234">
        <w:t xml:space="preserve"> crolli oltreoceano</w:t>
      </w:r>
      <w:r w:rsidR="004F4234">
        <w:t xml:space="preserve"> </w:t>
      </w:r>
      <w:r w:rsidR="006B5E2A">
        <w:t>e ad</w:t>
      </w:r>
      <w:r w:rsidR="004F4234">
        <w:t xml:space="preserve"> aspetta</w:t>
      </w:r>
      <w:r w:rsidR="006B5E2A">
        <w:t>re</w:t>
      </w:r>
      <w:r w:rsidR="004F4234">
        <w:t xml:space="preserve"> il </w:t>
      </w:r>
      <w:r w:rsidR="007275C8">
        <w:t xml:space="preserve">via libera della normativa. </w:t>
      </w:r>
    </w:p>
    <w:p w14:paraId="0F75E588" w14:textId="77777777" w:rsidR="007275C8" w:rsidRDefault="007275C8" w:rsidP="00D57BDB">
      <w:pPr>
        <w:jc w:val="both"/>
      </w:pPr>
    </w:p>
    <w:p w14:paraId="00000092" w14:textId="085EE840" w:rsidR="0076699A" w:rsidRDefault="007275C8" w:rsidP="00D57BDB">
      <w:pPr>
        <w:jc w:val="both"/>
      </w:pPr>
      <w:r>
        <w:rPr>
          <w:b/>
          <w:bCs/>
        </w:rPr>
        <w:t>N</w:t>
      </w:r>
      <w:r w:rsidR="00F97A68" w:rsidRPr="00F97A68">
        <w:rPr>
          <w:b/>
          <w:bCs/>
        </w:rPr>
        <w:t xml:space="preserve">el corso del 2023 il mercato italiano </w:t>
      </w:r>
      <w:r w:rsidR="00F97A68">
        <w:rPr>
          <w:b/>
          <w:bCs/>
        </w:rPr>
        <w:t>delle</w:t>
      </w:r>
      <w:r w:rsidR="00F97A68" w:rsidRPr="00F97A68">
        <w:rPr>
          <w:b/>
          <w:bCs/>
        </w:rPr>
        <w:t xml:space="preserve"> soluzioni blockchain da parte di aziende tradizionali ha mantenuto una sostanziale stabilità. Il livello di investimenti registrato è, infatti, solo lievemente inferiore rispetto all'anno precedente, </w:t>
      </w:r>
      <w:r w:rsidR="006B5E2A">
        <w:rPr>
          <w:b/>
          <w:bCs/>
        </w:rPr>
        <w:t>e pari a</w:t>
      </w:r>
      <w:r w:rsidR="00F97A68" w:rsidRPr="00F97A68">
        <w:rPr>
          <w:b/>
          <w:bCs/>
        </w:rPr>
        <w:t xml:space="preserve"> circa 38 milioni di euro </w:t>
      </w:r>
      <w:r w:rsidR="00F97A68" w:rsidRPr="00F97A68">
        <w:t>(-10% rispetto al 2022).</w:t>
      </w:r>
      <w:r w:rsidR="00F97A68">
        <w:t xml:space="preserve"> </w:t>
      </w:r>
      <w:r w:rsidR="00D93C45">
        <w:t xml:space="preserve">Gli attori coinvolti hanno spostato la loro attenzione dal lancio immediato di </w:t>
      </w:r>
      <w:r w:rsidR="00F97A68">
        <w:t>progetti di piccola entità</w:t>
      </w:r>
      <w:r w:rsidR="00D93C45">
        <w:t>,</w:t>
      </w:r>
      <w:r w:rsidR="00BA0EDB">
        <w:t xml:space="preserve"> che nel 2022 erano principalmente legati </w:t>
      </w:r>
      <w:r w:rsidR="00F97A68">
        <w:t>alla creazione di</w:t>
      </w:r>
      <w:r w:rsidR="00BA0EDB">
        <w:t xml:space="preserve"> NFT,</w:t>
      </w:r>
      <w:r w:rsidR="00D93C45">
        <w:t xml:space="preserve"> </w:t>
      </w:r>
      <w:r w:rsidR="00F97A68">
        <w:t>a</w:t>
      </w:r>
      <w:r w:rsidR="00D93C45">
        <w:t xml:space="preserve"> prototipi e progetti pilota </w:t>
      </w:r>
      <w:r w:rsidR="00F97A68">
        <w:t>orientati al</w:t>
      </w:r>
      <w:r w:rsidR="00D93C45">
        <w:t xml:space="preserve">lo sviluppo di iniziative di </w:t>
      </w:r>
      <w:r w:rsidR="00F97A68">
        <w:t xml:space="preserve">maggiore </w:t>
      </w:r>
      <w:r w:rsidR="008B74AB">
        <w:t>dimensione</w:t>
      </w:r>
      <w:r w:rsidR="00D93C45">
        <w:t xml:space="preserve">. </w:t>
      </w:r>
      <w:r w:rsidR="007F07BF" w:rsidRPr="007F07BF">
        <w:t xml:space="preserve">In linea con il panorama internazionale, il settore finanziario e assicurativo mantiene la sua posizione predominante, </w:t>
      </w:r>
      <w:r w:rsidR="007F07BF" w:rsidRPr="00FF1012">
        <w:t xml:space="preserve">rappresentando il </w:t>
      </w:r>
      <w:r w:rsidR="00FF1012" w:rsidRPr="00FF1012">
        <w:t>39</w:t>
      </w:r>
      <w:r w:rsidR="007F07BF" w:rsidRPr="00FF1012">
        <w:t>%</w:t>
      </w:r>
      <w:r w:rsidR="007F07BF" w:rsidRPr="007F07BF">
        <w:t xml:space="preserve"> degli investimenti complessivi</w:t>
      </w:r>
      <w:r w:rsidR="00EB1CCC" w:rsidRPr="00EB1CCC">
        <w:t xml:space="preserve">. </w:t>
      </w:r>
      <w:r w:rsidR="00FF1012">
        <w:t>Aumenta invece la rilevanza dei progetti legati alla pubblica amministrazione</w:t>
      </w:r>
      <w:r w:rsidR="008B74AB">
        <w:t>,</w:t>
      </w:r>
      <w:r w:rsidR="00FF1012">
        <w:t xml:space="preserve"> che tornano al secondo posto </w:t>
      </w:r>
      <w:r w:rsidR="006B5E2A" w:rsidRPr="006B5E2A">
        <w:t>(i</w:t>
      </w:r>
      <w:r w:rsidR="008B74AB">
        <w:t xml:space="preserve">l </w:t>
      </w:r>
      <w:r w:rsidR="00FF1012">
        <w:t>14% degli investimenti totali</w:t>
      </w:r>
      <w:r w:rsidR="006B5E2A">
        <w:t>)</w:t>
      </w:r>
      <w:r w:rsidR="00FF1012">
        <w:t xml:space="preserve">. </w:t>
      </w:r>
      <w:r w:rsidR="008B74AB">
        <w:t xml:space="preserve">Rispetto all’anno precedente, cresce anche il settore dell’agrifood che, con il 10% degli investimenti registrati, raddoppia la quota del 2022. </w:t>
      </w:r>
      <w:r w:rsidR="009C36BE" w:rsidRPr="009C36BE">
        <w:t xml:space="preserve">La percentuale relativa al settore fashion e lusso diminuisce, contribuendo ora al 7% degli investimenti. Questo è il risultato del proseguimento di molti progetti legati agli NFT avviati l'anno precedente, </w:t>
      </w:r>
      <w:r w:rsidR="009C36BE">
        <w:t>durante</w:t>
      </w:r>
      <w:r w:rsidR="009C36BE" w:rsidRPr="009C36BE">
        <w:t xml:space="preserve"> la forte crescita del 2022</w:t>
      </w:r>
      <w:r w:rsidR="00EB1CCC" w:rsidRPr="00EB1CCC">
        <w:t xml:space="preserve">. </w:t>
      </w:r>
    </w:p>
    <w:p w14:paraId="5F71FDA9" w14:textId="77777777" w:rsidR="00BE1B9A" w:rsidRDefault="00BE1B9A" w:rsidP="00D57BDB">
      <w:pPr>
        <w:jc w:val="both"/>
        <w:rPr>
          <w:b/>
        </w:rPr>
      </w:pPr>
    </w:p>
    <w:p w14:paraId="4A88396C" w14:textId="1F102EB4" w:rsidR="00BE1B9A" w:rsidRDefault="00BE1B9A" w:rsidP="00D57BD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4ADC6BDC" wp14:editId="093701BE">
            <wp:extent cx="6533154" cy="2911813"/>
            <wp:effectExtent l="0" t="0" r="0" b="0"/>
            <wp:docPr id="920186865" name="Immagine 3" descr="Immagine che contiene testo, Carattere, schermat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86865" name="Immagine 3" descr="Immagine che contiene testo, Carattere, schermata, diagramma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565" cy="293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94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&gt;&gt;&gt;&gt;</w:t>
      </w:r>
    </w:p>
    <w:p w14:paraId="00000095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GRAFICO 2</w:t>
      </w:r>
    </w:p>
    <w:p w14:paraId="00000096" w14:textId="2FB00E53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 xml:space="preserve">Gli investimenti in progetti </w:t>
      </w:r>
      <w:r w:rsidR="001273DC">
        <w:rPr>
          <w:color w:val="00B050"/>
          <w:sz w:val="18"/>
          <w:szCs w:val="18"/>
        </w:rPr>
        <w:t>web3</w:t>
      </w:r>
      <w:r>
        <w:rPr>
          <w:color w:val="00B050"/>
          <w:sz w:val="18"/>
          <w:szCs w:val="18"/>
        </w:rPr>
        <w:t xml:space="preserve"> in Italia (stima Osservatorio Blockchain &amp; Web3)</w:t>
      </w:r>
    </w:p>
    <w:p w14:paraId="00000097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lastRenderedPageBreak/>
        <w:t>&gt;&gt;&gt;&gt;</w:t>
      </w:r>
    </w:p>
    <w:p w14:paraId="708C6FA1" w14:textId="77777777" w:rsidR="00082DA7" w:rsidRDefault="00082DA7" w:rsidP="00D57BDB">
      <w:pPr>
        <w:jc w:val="both"/>
      </w:pPr>
    </w:p>
    <w:p w14:paraId="608AB5AD" w14:textId="5B2B20E9" w:rsidR="007F07BF" w:rsidRDefault="00726C57" w:rsidP="00D57BDB">
      <w:pPr>
        <w:jc w:val="both"/>
      </w:pPr>
      <w:r>
        <w:t xml:space="preserve">Anche il dato sull’adozione da parte dei consumatori italiani rimane invariato rispetto al 2022. </w:t>
      </w:r>
      <w:r w:rsidR="00082DA7" w:rsidRPr="00726C57">
        <w:rPr>
          <w:b/>
          <w:bCs/>
        </w:rPr>
        <w:t xml:space="preserve">Oltre </w:t>
      </w:r>
      <w:r w:rsidRPr="00877F14">
        <w:rPr>
          <w:b/>
          <w:bCs/>
        </w:rPr>
        <w:t>3,6</w:t>
      </w:r>
      <w:r w:rsidR="00082DA7" w:rsidRPr="00877F14">
        <w:rPr>
          <w:b/>
          <w:bCs/>
        </w:rPr>
        <w:t xml:space="preserve"> </w:t>
      </w:r>
      <w:r w:rsidR="00082DA7" w:rsidRPr="00726C57">
        <w:rPr>
          <w:b/>
          <w:bCs/>
        </w:rPr>
        <w:t>milioni</w:t>
      </w:r>
      <w:r w:rsidR="00082DA7" w:rsidRPr="00DC0DB6">
        <w:rPr>
          <w:b/>
          <w:bCs/>
        </w:rPr>
        <w:t xml:space="preserve"> di italiani</w:t>
      </w:r>
      <w:r w:rsidR="00082DA7" w:rsidRPr="00DC0DB6">
        <w:rPr>
          <w:rStyle w:val="FootnoteReference"/>
          <w:b/>
          <w:bCs/>
        </w:rPr>
        <w:footnoteReference w:id="12"/>
      </w:r>
      <w:r w:rsidR="00082DA7" w:rsidRPr="00082DA7">
        <w:t xml:space="preserve"> </w:t>
      </w:r>
      <w:r w:rsidR="00B44972" w:rsidRPr="00DC0DB6">
        <w:rPr>
          <w:b/>
          <w:bCs/>
        </w:rPr>
        <w:t xml:space="preserve">hanno </w:t>
      </w:r>
      <w:r w:rsidR="00B44972">
        <w:rPr>
          <w:b/>
          <w:bCs/>
        </w:rPr>
        <w:t>dichiarato di possedere</w:t>
      </w:r>
      <w:r w:rsidR="00B44972" w:rsidRPr="00DC0DB6">
        <w:rPr>
          <w:b/>
          <w:bCs/>
        </w:rPr>
        <w:t xml:space="preserve"> </w:t>
      </w:r>
      <w:r>
        <w:rPr>
          <w:b/>
          <w:bCs/>
        </w:rPr>
        <w:t xml:space="preserve">attualmente </w:t>
      </w:r>
      <w:r w:rsidR="00B44972" w:rsidRPr="00DC0DB6">
        <w:rPr>
          <w:b/>
          <w:bCs/>
        </w:rPr>
        <w:t>criptovalute o token</w:t>
      </w:r>
      <w:r>
        <w:rPr>
          <w:b/>
          <w:bCs/>
        </w:rPr>
        <w:t>.</w:t>
      </w:r>
      <w:r w:rsidR="00082DA7" w:rsidRPr="00082DA7">
        <w:t xml:space="preserve"> </w:t>
      </w:r>
      <w:r w:rsidR="0086357D">
        <w:t>Dall’analisi</w:t>
      </w:r>
      <w:r>
        <w:t xml:space="preserve"> </w:t>
      </w:r>
      <w:r w:rsidR="0086357D">
        <w:t>congiunta de</w:t>
      </w:r>
      <w:r>
        <w:t xml:space="preserve">gli utenti che </w:t>
      </w:r>
      <w:r w:rsidR="0086357D">
        <w:t xml:space="preserve">sono attualmente in possesso di crypto-asset e di quelli che li </w:t>
      </w:r>
      <w:r w:rsidRPr="00535632">
        <w:t xml:space="preserve">hanno </w:t>
      </w:r>
      <w:r w:rsidR="0086357D" w:rsidRPr="00535632">
        <w:t>acquistat</w:t>
      </w:r>
      <w:r w:rsidR="004E42B6" w:rsidRPr="00535632">
        <w:t>i</w:t>
      </w:r>
      <w:r w:rsidR="0086357D" w:rsidRPr="00535632">
        <w:t xml:space="preserve"> in passato, g</w:t>
      </w:r>
      <w:r w:rsidR="007F07BF" w:rsidRPr="00535632">
        <w:t xml:space="preserve">li exchange di criptovalute </w:t>
      </w:r>
      <w:r w:rsidR="0086357D" w:rsidRPr="00535632">
        <w:t xml:space="preserve">si </w:t>
      </w:r>
      <w:r w:rsidR="001F1EEA" w:rsidRPr="00535632">
        <w:t>confermano</w:t>
      </w:r>
      <w:r w:rsidR="007F07BF" w:rsidRPr="00535632">
        <w:t xml:space="preserve"> il canale principale di accesso a questi strumenti</w:t>
      </w:r>
      <w:r w:rsidR="00D93C45" w:rsidRPr="00535632">
        <w:t xml:space="preserve"> (32% de</w:t>
      </w:r>
      <w:r w:rsidR="00877F14" w:rsidRPr="00535632">
        <w:t>gli utenti</w:t>
      </w:r>
      <w:r w:rsidR="00D93C45" w:rsidRPr="00535632">
        <w:t>)</w:t>
      </w:r>
      <w:r w:rsidR="007F07BF" w:rsidRPr="00535632">
        <w:t>, seguiti dai servizi di wallet con acquisto diretto (17%)</w:t>
      </w:r>
      <w:r w:rsidR="0086357D" w:rsidRPr="00535632">
        <w:t>. Il</w:t>
      </w:r>
      <w:r w:rsidR="007F07BF" w:rsidRPr="00535632">
        <w:t xml:space="preserve"> </w:t>
      </w:r>
      <w:r w:rsidR="006B7D4A" w:rsidRPr="00535632">
        <w:t>38</w:t>
      </w:r>
      <w:r w:rsidR="007F07BF" w:rsidRPr="00535632">
        <w:t xml:space="preserve">% degli italiani preferisce </w:t>
      </w:r>
      <w:r w:rsidR="0086357D" w:rsidRPr="00535632">
        <w:t xml:space="preserve">invece </w:t>
      </w:r>
      <w:r w:rsidR="00D93C45" w:rsidRPr="00535632">
        <w:t>esporsi finanziariamente</w:t>
      </w:r>
      <w:r w:rsidR="007F07BF" w:rsidRPr="00535632">
        <w:t xml:space="preserve"> a questi strumenti </w:t>
      </w:r>
      <w:r w:rsidR="0086357D" w:rsidRPr="00535632">
        <w:t xml:space="preserve">solo </w:t>
      </w:r>
      <w:r w:rsidR="007F07BF" w:rsidRPr="00535632">
        <w:t>in modo indiretto attraverso servizi di trading tradizionali e app bancarie.</w:t>
      </w:r>
    </w:p>
    <w:p w14:paraId="3799D781" w14:textId="1F343D12" w:rsidR="00601C6E" w:rsidRDefault="00191A15" w:rsidP="00D57BDB">
      <w:pPr>
        <w:jc w:val="both"/>
      </w:pPr>
      <w:r w:rsidRPr="00191A15">
        <w:t xml:space="preserve">Tra gli utenti che possiedono o hanno posseduto crypto-asset, il 37% afferma di conservare i propri beni utilizzando servizi di exchange, con </w:t>
      </w:r>
      <w:proofErr w:type="spellStart"/>
      <w:r w:rsidRPr="00191A15">
        <w:t>Coinbase</w:t>
      </w:r>
      <w:proofErr w:type="spellEnd"/>
      <w:r w:rsidRPr="00191A15">
        <w:t xml:space="preserve">, Crypto.com e </w:t>
      </w:r>
      <w:proofErr w:type="spellStart"/>
      <w:r w:rsidRPr="00191A15">
        <w:t>Binance</w:t>
      </w:r>
      <w:proofErr w:type="spellEnd"/>
      <w:r w:rsidRPr="00191A15">
        <w:t xml:space="preserve"> che rimangono i principali. Questa percentuale è significativamente inferiore rispetto all'anno precedente, quando era del 55%.</w:t>
      </w:r>
      <w:r w:rsidR="007F07BF" w:rsidRPr="007F07BF">
        <w:t xml:space="preserve"> In linea con </w:t>
      </w:r>
      <w:r w:rsidR="007F07BF">
        <w:t>il 2022</w:t>
      </w:r>
      <w:r w:rsidR="001F1EEA">
        <w:t xml:space="preserve"> invece</w:t>
      </w:r>
      <w:r w:rsidR="007F07BF" w:rsidRPr="007F07BF">
        <w:t>, il 36% degli utenti utilizza software wallet non-</w:t>
      </w:r>
      <w:proofErr w:type="spellStart"/>
      <w:r w:rsidR="007F07BF" w:rsidRPr="007F07BF">
        <w:t>custodial</w:t>
      </w:r>
      <w:proofErr w:type="spellEnd"/>
      <w:r w:rsidR="004E42B6">
        <w:t xml:space="preserve"> e</w:t>
      </w:r>
      <w:r w:rsidR="007F07BF" w:rsidRPr="007F07BF">
        <w:t xml:space="preserve"> l’8% utilizza hardware wallet. </w:t>
      </w:r>
      <w:r w:rsidR="00601C6E">
        <w:t>S</w:t>
      </w:r>
      <w:r w:rsidR="007F07BF" w:rsidRPr="007F07BF">
        <w:t>i registra</w:t>
      </w:r>
      <w:r w:rsidR="00601C6E">
        <w:t xml:space="preserve"> poi</w:t>
      </w:r>
      <w:r w:rsidR="007F07BF" w:rsidRPr="007F07BF">
        <w:t xml:space="preserve"> un aumento significativo degli utenti che detengono criptovalute o token presso servizi di trading finanziari generici o </w:t>
      </w:r>
      <w:r w:rsidR="00D93C45">
        <w:t xml:space="preserve">su </w:t>
      </w:r>
      <w:r w:rsidR="007F07BF" w:rsidRPr="007F07BF">
        <w:t>app banca</w:t>
      </w:r>
      <w:r w:rsidR="00D93C45">
        <w:t>rie</w:t>
      </w:r>
      <w:r w:rsidR="007F07BF" w:rsidRPr="007F07BF">
        <w:t xml:space="preserve"> (</w:t>
      </w:r>
      <w:r w:rsidR="00B669BC">
        <w:t>38</w:t>
      </w:r>
      <w:r w:rsidR="007F07BF" w:rsidRPr="007F07BF">
        <w:t xml:space="preserve">%, contro il </w:t>
      </w:r>
      <w:r w:rsidR="00B669BC">
        <w:t>23</w:t>
      </w:r>
      <w:r w:rsidR="007F07BF" w:rsidRPr="007F07BF">
        <w:t>% dello scorso anno)</w:t>
      </w:r>
      <w:r w:rsidR="00601C6E">
        <w:t>, p</w:t>
      </w:r>
      <w:r w:rsidR="00601C6E" w:rsidRPr="007F07BF">
        <w:t xml:space="preserve">robabilmente anche </w:t>
      </w:r>
      <w:r w:rsidR="00601C6E">
        <w:t>per via dell’</w:t>
      </w:r>
      <w:r w:rsidR="00601C6E" w:rsidRPr="007F07BF">
        <w:t xml:space="preserve">incremento dell’offerta di </w:t>
      </w:r>
      <w:r w:rsidR="00601C6E">
        <w:t>tali</w:t>
      </w:r>
      <w:r w:rsidR="00601C6E" w:rsidRPr="007F07BF">
        <w:t xml:space="preserve"> servizi</w:t>
      </w:r>
      <w:r w:rsidR="00601C6E">
        <w:t>.</w:t>
      </w:r>
      <w:r w:rsidR="007505F3">
        <w:t xml:space="preserve"> </w:t>
      </w:r>
      <w:r w:rsidR="00D93C45">
        <w:t xml:space="preserve">È </w:t>
      </w:r>
      <w:r w:rsidR="00180EA1">
        <w:t>più ridotta</w:t>
      </w:r>
      <w:r w:rsidR="00180EA1" w:rsidRPr="00601C6E">
        <w:t xml:space="preserve"> </w:t>
      </w:r>
      <w:r w:rsidR="00601C6E" w:rsidRPr="00601C6E">
        <w:t>invece la penetrazione di NFT, giochi play-to-</w:t>
      </w:r>
      <w:proofErr w:type="spellStart"/>
      <w:r w:rsidR="00601C6E" w:rsidRPr="00601C6E">
        <w:t>earn</w:t>
      </w:r>
      <w:proofErr w:type="spellEnd"/>
      <w:r w:rsidR="00601C6E" w:rsidRPr="00601C6E">
        <w:t xml:space="preserve"> e applicazioni DeFi, adottati rispettivamente dall’8%, 8% e 5% degli intervistati. </w:t>
      </w:r>
    </w:p>
    <w:p w14:paraId="6A4D5A1B" w14:textId="77777777" w:rsidR="000A178F" w:rsidRDefault="000A178F" w:rsidP="00D57BDB">
      <w:pPr>
        <w:jc w:val="both"/>
      </w:pPr>
    </w:p>
    <w:p w14:paraId="0000009B" w14:textId="7C88B74A" w:rsidR="0076699A" w:rsidRDefault="00086EC8" w:rsidP="00D57BDB">
      <w:pPr>
        <w:jc w:val="both"/>
      </w:pPr>
      <w:r>
        <w:t xml:space="preserve">In conclusione, </w:t>
      </w:r>
      <w:r w:rsidRPr="00086EC8">
        <w:t>emerge chiaramente c</w:t>
      </w:r>
      <w:r w:rsidR="00864656">
        <w:t>ome</w:t>
      </w:r>
      <w:r w:rsidRPr="00086EC8">
        <w:t xml:space="preserve"> in Italia persist</w:t>
      </w:r>
      <w:r w:rsidR="00864656">
        <w:t>a</w:t>
      </w:r>
      <w:r w:rsidRPr="00086EC8">
        <w:t xml:space="preserve"> la necessità di intensificare gli sforzi per educare i cittadini verso una corretta adozione di questi strumenti, rassicurare le aziende tradizionali sulla possibilità di utilizzar</w:t>
      </w:r>
      <w:r w:rsidR="00E00A90">
        <w:t xml:space="preserve">li </w:t>
      </w:r>
      <w:r w:rsidRPr="00086EC8">
        <w:t xml:space="preserve">in modo coerente con la normativa vigente, stimolare la crescita di startup </w:t>
      </w:r>
      <w:r w:rsidR="00E00A90">
        <w:t xml:space="preserve">“crypto-native” </w:t>
      </w:r>
      <w:r w:rsidRPr="00086EC8">
        <w:t>e proteggere il mercato da comportamenti speculativi.</w:t>
      </w:r>
    </w:p>
    <w:p w14:paraId="79C48914" w14:textId="77777777" w:rsidR="00086EC8" w:rsidRDefault="00086EC8" w:rsidP="00D57BDB">
      <w:pPr>
        <w:jc w:val="both"/>
      </w:pPr>
    </w:p>
    <w:p w14:paraId="0000009C" w14:textId="77777777" w:rsidR="0076699A" w:rsidRDefault="000B17DD" w:rsidP="00D57BDB">
      <w:pPr>
        <w:jc w:val="both"/>
      </w:pPr>
      <w:r>
        <w:t>Valeria Portale</w:t>
      </w:r>
    </w:p>
    <w:p w14:paraId="0000009D" w14:textId="77777777" w:rsidR="0076699A" w:rsidRDefault="000B17DD" w:rsidP="00D57BDB">
      <w:pPr>
        <w:jc w:val="both"/>
      </w:pPr>
      <w:r>
        <w:t>Direttore dell’Osservatorio Blockchain &amp; Web3</w:t>
      </w:r>
    </w:p>
    <w:p w14:paraId="0000009E" w14:textId="77777777" w:rsidR="0076699A" w:rsidRDefault="0076699A" w:rsidP="00D57BDB">
      <w:pPr>
        <w:jc w:val="both"/>
      </w:pPr>
    </w:p>
    <w:p w14:paraId="0000009F" w14:textId="77777777" w:rsidR="0076699A" w:rsidRDefault="000B17DD" w:rsidP="00D57BDB">
      <w:pPr>
        <w:jc w:val="both"/>
      </w:pPr>
      <w:r>
        <w:t>Francesco Bruschi</w:t>
      </w:r>
    </w:p>
    <w:p w14:paraId="029BD249" w14:textId="04EC7966" w:rsidR="00EC2611" w:rsidRDefault="000B17DD" w:rsidP="00D57BDB">
      <w:pPr>
        <w:jc w:val="both"/>
      </w:pPr>
      <w:r>
        <w:t>Direttore dell’Osservatorio Blockchain &amp; Web3</w:t>
      </w:r>
    </w:p>
    <w:p w14:paraId="7EF9FD97" w14:textId="57828B41" w:rsidR="00672CA1" w:rsidRDefault="00672CA1" w:rsidP="00D57BDB">
      <w:pPr>
        <w:jc w:val="both"/>
      </w:pPr>
    </w:p>
    <w:p w14:paraId="46253120" w14:textId="01A8152B" w:rsidR="00672CA1" w:rsidRDefault="00672CA1" w:rsidP="00D57BDB">
      <w:pPr>
        <w:jc w:val="both"/>
      </w:pPr>
      <w:r>
        <w:t>Giacomo Vella</w:t>
      </w:r>
    </w:p>
    <w:p w14:paraId="2840BA09" w14:textId="071B64BB" w:rsidR="00672CA1" w:rsidRDefault="002D4FBC" w:rsidP="00D57BDB">
      <w:pPr>
        <w:jc w:val="both"/>
      </w:pPr>
      <w:r>
        <w:t xml:space="preserve">Direttore </w:t>
      </w:r>
      <w:r w:rsidR="00672CA1">
        <w:t>dell’Osservatorio Blockchain &amp; Web3</w:t>
      </w:r>
    </w:p>
    <w:p w14:paraId="000000A1" w14:textId="77777777" w:rsidR="0076699A" w:rsidRDefault="0076699A" w:rsidP="00D57BDB">
      <w:pPr>
        <w:spacing w:line="240" w:lineRule="auto"/>
        <w:jc w:val="both"/>
      </w:pPr>
    </w:p>
    <w:p w14:paraId="000000A2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6"/>
          <w:szCs w:val="16"/>
        </w:rPr>
      </w:pPr>
      <w:r>
        <w:rPr>
          <w:color w:val="F89B61"/>
          <w:sz w:val="16"/>
          <w:szCs w:val="16"/>
        </w:rPr>
        <w:t xml:space="preserve">&gt;&gt;&gt;&gt; </w:t>
      </w:r>
    </w:p>
    <w:p w14:paraId="000000A3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6"/>
          <w:szCs w:val="16"/>
        </w:rPr>
      </w:pPr>
      <w:r>
        <w:rPr>
          <w:color w:val="F89B61"/>
          <w:sz w:val="16"/>
          <w:szCs w:val="16"/>
        </w:rPr>
        <w:t xml:space="preserve">PROGRAMMA TEMATICO </w:t>
      </w:r>
    </w:p>
    <w:p w14:paraId="500DDC66" w14:textId="77777777" w:rsidR="00162E64" w:rsidRDefault="00162E64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6"/>
          <w:szCs w:val="16"/>
        </w:rPr>
      </w:pPr>
      <w:r w:rsidRPr="00162E64">
        <w:rPr>
          <w:color w:val="F89B61"/>
          <w:sz w:val="16"/>
          <w:szCs w:val="16"/>
        </w:rPr>
        <w:t xml:space="preserve">BLOCKCHAIN &amp; DLT: QUALI OPPORTUNITÀ DI BUSINESS NEL WEB3? (2024) </w:t>
      </w:r>
    </w:p>
    <w:p w14:paraId="000000A5" w14:textId="67D9E37F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6"/>
          <w:szCs w:val="16"/>
        </w:rPr>
      </w:pPr>
      <w:r>
        <w:rPr>
          <w:color w:val="F89B61"/>
          <w:sz w:val="16"/>
          <w:szCs w:val="16"/>
        </w:rPr>
        <w:t>[</w:t>
      </w:r>
      <w:r w:rsidR="00162E64" w:rsidRPr="00162E64">
        <w:rPr>
          <w:color w:val="F89B61"/>
          <w:sz w:val="16"/>
          <w:szCs w:val="16"/>
        </w:rPr>
        <w:t>https://www.osservatori.net/it/eventi/on-demand/programmi-tematici/blockchain-dlt-opportunita-business-web3-programma-2024</w:t>
      </w:r>
      <w:r>
        <w:rPr>
          <w:color w:val="F89B61"/>
          <w:sz w:val="16"/>
          <w:szCs w:val="16"/>
        </w:rPr>
        <w:t xml:space="preserve">] </w:t>
      </w:r>
    </w:p>
    <w:p w14:paraId="000000A6" w14:textId="77777777" w:rsidR="0076699A" w:rsidRDefault="000B17DD" w:rsidP="00D57B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89B61"/>
          <w:sz w:val="16"/>
          <w:szCs w:val="16"/>
        </w:rPr>
      </w:pPr>
      <w:r>
        <w:rPr>
          <w:color w:val="F89B61"/>
          <w:sz w:val="16"/>
          <w:szCs w:val="16"/>
        </w:rPr>
        <w:t>&gt;&gt;&gt;&gt;</w:t>
      </w:r>
    </w:p>
    <w:p w14:paraId="000000A7" w14:textId="77777777" w:rsidR="0076699A" w:rsidRDefault="0076699A" w:rsidP="00D57BDB">
      <w:pPr>
        <w:jc w:val="both"/>
      </w:pPr>
    </w:p>
    <w:sectPr w:rsidR="0076699A">
      <w:headerReference w:type="default" r:id="rId14"/>
      <w:footerReference w:type="default" r:id="rId15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84CA" w14:textId="77777777" w:rsidR="00597641" w:rsidRDefault="00597641">
      <w:pPr>
        <w:spacing w:line="240" w:lineRule="auto"/>
      </w:pPr>
      <w:r>
        <w:separator/>
      </w:r>
    </w:p>
  </w:endnote>
  <w:endnote w:type="continuationSeparator" w:id="0">
    <w:p w14:paraId="286FD897" w14:textId="77777777" w:rsidR="00597641" w:rsidRDefault="0059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76699A" w:rsidRDefault="0076699A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ind w:left="426"/>
      <w:rPr>
        <w:rFonts w:ascii="Montserrat" w:eastAsia="Montserrat" w:hAnsi="Montserrat" w:cs="Montserrat"/>
        <w:color w:val="017DC1"/>
        <w:sz w:val="18"/>
        <w:szCs w:val="18"/>
      </w:rPr>
    </w:pPr>
  </w:p>
  <w:p w14:paraId="000000B7" w14:textId="7373EC1D" w:rsidR="0076699A" w:rsidRDefault="000B17DD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ind w:left="426"/>
      <w:rPr>
        <w:rFonts w:ascii="Montserrat" w:eastAsia="Montserrat" w:hAnsi="Montserrat" w:cs="Montserrat"/>
        <w:color w:val="017DC1"/>
        <w:sz w:val="18"/>
        <w:szCs w:val="18"/>
      </w:rPr>
    </w:pPr>
    <w:r>
      <w:rPr>
        <w:rFonts w:ascii="Montserrat" w:eastAsia="Montserrat" w:hAnsi="Montserrat" w:cs="Montserrat"/>
        <w:color w:val="017DC1"/>
        <w:sz w:val="18"/>
        <w:szCs w:val="18"/>
      </w:rPr>
      <w:tab/>
    </w:r>
    <w:r>
      <w:rPr>
        <w:rFonts w:ascii="Montserrat" w:eastAsia="Montserrat" w:hAnsi="Montserrat" w:cs="Montserrat"/>
        <w:color w:val="017DC1"/>
        <w:sz w:val="18"/>
        <w:szCs w:val="18"/>
      </w:rPr>
      <w:tab/>
    </w:r>
    <w:r>
      <w:rPr>
        <w:rFonts w:ascii="Montserrat" w:eastAsia="Montserrat" w:hAnsi="Montserrat" w:cs="Montserrat"/>
        <w:color w:val="017DC1"/>
        <w:sz w:val="18"/>
        <w:szCs w:val="18"/>
      </w:rPr>
      <w:fldChar w:fldCharType="begin"/>
    </w:r>
    <w:r>
      <w:rPr>
        <w:rFonts w:ascii="Montserrat" w:eastAsia="Montserrat" w:hAnsi="Montserrat" w:cs="Montserrat"/>
        <w:color w:val="017DC1"/>
        <w:sz w:val="18"/>
        <w:szCs w:val="18"/>
      </w:rPr>
      <w:instrText>PAGE</w:instrText>
    </w:r>
    <w:r>
      <w:rPr>
        <w:rFonts w:ascii="Montserrat" w:eastAsia="Montserrat" w:hAnsi="Montserrat" w:cs="Montserrat"/>
        <w:color w:val="017DC1"/>
        <w:sz w:val="18"/>
        <w:szCs w:val="18"/>
      </w:rPr>
      <w:fldChar w:fldCharType="separate"/>
    </w:r>
    <w:r w:rsidR="00A30747">
      <w:rPr>
        <w:rFonts w:ascii="Montserrat" w:eastAsia="Montserrat" w:hAnsi="Montserrat" w:cs="Montserrat"/>
        <w:noProof/>
        <w:color w:val="017DC1"/>
        <w:sz w:val="18"/>
        <w:szCs w:val="18"/>
      </w:rPr>
      <w:t>8</w:t>
    </w:r>
    <w:r>
      <w:rPr>
        <w:rFonts w:ascii="Montserrat" w:eastAsia="Montserrat" w:hAnsi="Montserrat" w:cs="Montserrat"/>
        <w:color w:val="017DC1"/>
        <w:sz w:val="18"/>
        <w:szCs w:val="18"/>
      </w:rPr>
      <w:fldChar w:fldCharType="end"/>
    </w:r>
    <w:r>
      <w:rPr>
        <w:rFonts w:ascii="Montserrat" w:eastAsia="Montserrat" w:hAnsi="Montserrat" w:cs="Montserrat"/>
        <w:color w:val="017DC1"/>
        <w:sz w:val="18"/>
        <w:szCs w:val="18"/>
      </w:rPr>
      <w:t xml:space="preserve"> di </w:t>
    </w:r>
    <w:r>
      <w:rPr>
        <w:rFonts w:ascii="Montserrat" w:eastAsia="Montserrat" w:hAnsi="Montserrat" w:cs="Montserrat"/>
        <w:color w:val="017DC1"/>
        <w:sz w:val="18"/>
        <w:szCs w:val="18"/>
      </w:rPr>
      <w:fldChar w:fldCharType="begin"/>
    </w:r>
    <w:r>
      <w:rPr>
        <w:rFonts w:ascii="Montserrat" w:eastAsia="Montserrat" w:hAnsi="Montserrat" w:cs="Montserrat"/>
        <w:color w:val="017DC1"/>
        <w:sz w:val="18"/>
        <w:szCs w:val="18"/>
      </w:rPr>
      <w:instrText>NUMPAGES</w:instrText>
    </w:r>
    <w:r>
      <w:rPr>
        <w:rFonts w:ascii="Montserrat" w:eastAsia="Montserrat" w:hAnsi="Montserrat" w:cs="Montserrat"/>
        <w:color w:val="017DC1"/>
        <w:sz w:val="18"/>
        <w:szCs w:val="18"/>
      </w:rPr>
      <w:fldChar w:fldCharType="separate"/>
    </w:r>
    <w:r w:rsidR="00A30747">
      <w:rPr>
        <w:rFonts w:ascii="Montserrat" w:eastAsia="Montserrat" w:hAnsi="Montserrat" w:cs="Montserrat"/>
        <w:noProof/>
        <w:color w:val="017DC1"/>
        <w:sz w:val="18"/>
        <w:szCs w:val="18"/>
      </w:rPr>
      <w:t>8</w:t>
    </w:r>
    <w:r>
      <w:rPr>
        <w:rFonts w:ascii="Montserrat" w:eastAsia="Montserrat" w:hAnsi="Montserrat" w:cs="Montserrat"/>
        <w:color w:val="017DC1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24B66D0" wp14:editId="21B3FDD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0" name="Connettore 2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5659" y="3780000"/>
                        <a:ext cx="6660682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B862AE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0" o:spid="_x0000_s1026" type="#_x0000_t32" style="position:absolute;margin-left:0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" strokecolor="#002e54 [3204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C284" w14:textId="77777777" w:rsidR="00597641" w:rsidRDefault="00597641">
      <w:pPr>
        <w:spacing w:line="240" w:lineRule="auto"/>
      </w:pPr>
      <w:r>
        <w:separator/>
      </w:r>
    </w:p>
  </w:footnote>
  <w:footnote w:type="continuationSeparator" w:id="0">
    <w:p w14:paraId="6042D185" w14:textId="77777777" w:rsidR="00597641" w:rsidRDefault="00597641">
      <w:pPr>
        <w:spacing w:line="240" w:lineRule="auto"/>
      </w:pPr>
      <w:r>
        <w:continuationSeparator/>
      </w:r>
    </w:p>
  </w:footnote>
  <w:footnote w:id="1">
    <w:p w14:paraId="20926399" w14:textId="77777777" w:rsidR="00EA5E95" w:rsidRPr="00C7617B" w:rsidRDefault="00EA5E95" w:rsidP="00EA5E95">
      <w:pPr>
        <w:pStyle w:val="FootnoteText"/>
        <w:rPr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I due più rilevanti a cui si fa riferimento sono il collasso dell’ecosistema Terra-Luna e dell’exchange FTX.</w:t>
      </w:r>
    </w:p>
  </w:footnote>
  <w:footnote w:id="2">
    <w:p w14:paraId="471A47CE" w14:textId="216C6953" w:rsidR="00D67C5A" w:rsidRPr="00C7617B" w:rsidRDefault="00D67C5A">
      <w:pPr>
        <w:pStyle w:val="FootnoteText"/>
        <w:rPr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https://defillama.com/</w:t>
      </w:r>
    </w:p>
  </w:footnote>
  <w:footnote w:id="3">
    <w:p w14:paraId="4B76CAF0" w14:textId="68A5A967" w:rsidR="00D67C5A" w:rsidRPr="00C7617B" w:rsidRDefault="00D67C5A">
      <w:pPr>
        <w:pStyle w:val="FootnoteText"/>
        <w:rPr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</w:t>
      </w:r>
      <w:r w:rsidR="00A51E91" w:rsidRPr="00C7617B">
        <w:rPr>
          <w:szCs w:val="17"/>
        </w:rPr>
        <w:t>Il c</w:t>
      </w:r>
      <w:r w:rsidRPr="00C7617B">
        <w:rPr>
          <w:szCs w:val="17"/>
        </w:rPr>
        <w:t>ryptowinter è una fase di raffreddamento dell’entusiasmo legata a un ribasso del valore di mercato di criptovalute e token</w:t>
      </w:r>
    </w:p>
  </w:footnote>
  <w:footnote w:id="4">
    <w:p w14:paraId="19585BF6" w14:textId="77BC3852" w:rsidR="00590D30" w:rsidRPr="00C7617B" w:rsidRDefault="00590D30">
      <w:pPr>
        <w:pStyle w:val="FootnoteText"/>
        <w:rPr>
          <w:color w:val="FF0000"/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</w:t>
      </w:r>
      <w:r w:rsidR="000674F0" w:rsidRPr="00C7617B">
        <w:rPr>
          <w:szCs w:val="17"/>
        </w:rPr>
        <w:t>Il MiCAr, acronimo di "Market in Crypto Asset regulation"</w:t>
      </w:r>
      <w:r w:rsidR="00A51E91" w:rsidRPr="00C7617B">
        <w:rPr>
          <w:szCs w:val="17"/>
        </w:rPr>
        <w:t>,</w:t>
      </w:r>
      <w:r w:rsidR="000674F0" w:rsidRPr="00C7617B">
        <w:rPr>
          <w:szCs w:val="17"/>
        </w:rPr>
        <w:t xml:space="preserve"> è una proposta di regolamentazione </w:t>
      </w:r>
      <w:r w:rsidR="00A51E91" w:rsidRPr="00C7617B">
        <w:rPr>
          <w:szCs w:val="17"/>
        </w:rPr>
        <w:t>che fornisce un quadro normativo per il mercato delle criptovalute all'interno dell'Unione Europea. A</w:t>
      </w:r>
      <w:r w:rsidR="000674F0" w:rsidRPr="00C7617B">
        <w:rPr>
          <w:szCs w:val="17"/>
        </w:rPr>
        <w:t>pprovat</w:t>
      </w:r>
      <w:r w:rsidR="00A51E91" w:rsidRPr="00C7617B">
        <w:rPr>
          <w:szCs w:val="17"/>
        </w:rPr>
        <w:t>o</w:t>
      </w:r>
      <w:r w:rsidR="000674F0" w:rsidRPr="00C7617B">
        <w:rPr>
          <w:szCs w:val="17"/>
        </w:rPr>
        <w:t xml:space="preserve"> dal Parlamento Europeo nel mese di aprile</w:t>
      </w:r>
      <w:r w:rsidR="00A51E91" w:rsidRPr="00C7617B">
        <w:rPr>
          <w:szCs w:val="17"/>
        </w:rPr>
        <w:t>, i</w:t>
      </w:r>
      <w:r w:rsidR="000674F0" w:rsidRPr="00C7617B">
        <w:rPr>
          <w:szCs w:val="17"/>
        </w:rPr>
        <w:t>l testo ufficiale è stato reso pubblico il 9 giugno ed è attualmente in fase di consultazione.</w:t>
      </w:r>
    </w:p>
  </w:footnote>
  <w:footnote w:id="5">
    <w:p w14:paraId="0517126B" w14:textId="74751DB9" w:rsidR="00590D30" w:rsidRPr="00C7617B" w:rsidRDefault="00590D30">
      <w:pPr>
        <w:pStyle w:val="FootnoteText"/>
        <w:rPr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</w:t>
      </w:r>
      <w:r w:rsidR="00C751AD" w:rsidRPr="00C7617B">
        <w:rPr>
          <w:szCs w:val="17"/>
        </w:rPr>
        <w:t>Il DLT Pilot Regime, parte del Digital Finance Package presentato dalla Commissione europea il 24 settembre 2020, è un'iniziativa per testare le tecnologie Distributed Ledger nei mercati finanziari europei.</w:t>
      </w:r>
      <w:r w:rsidR="00C751AD" w:rsidRPr="00C7617B" w:rsidDel="00C751AD">
        <w:rPr>
          <w:szCs w:val="17"/>
        </w:rPr>
        <w:t xml:space="preserve"> </w:t>
      </w:r>
    </w:p>
  </w:footnote>
  <w:footnote w:id="6">
    <w:p w14:paraId="1E488A50" w14:textId="5CCA1EEE" w:rsidR="00070F09" w:rsidRPr="00C7617B" w:rsidRDefault="00070F09" w:rsidP="00070F09">
      <w:pPr>
        <w:pStyle w:val="FootnoteText"/>
        <w:rPr>
          <w:szCs w:val="17"/>
        </w:rPr>
      </w:pPr>
      <w:r w:rsidRPr="00C7617B">
        <w:rPr>
          <w:rStyle w:val="FootnoteReference"/>
          <w:szCs w:val="17"/>
        </w:rPr>
        <w:footnoteRef/>
      </w:r>
      <w:r w:rsidRPr="00C7617B">
        <w:rPr>
          <w:szCs w:val="17"/>
        </w:rPr>
        <w:t xml:space="preserve"> La classifica </w:t>
      </w:r>
      <w:r w:rsidRPr="00C7617B">
        <w:rPr>
          <w:i/>
          <w:iCs/>
          <w:szCs w:val="17"/>
        </w:rPr>
        <w:t>Fortune Global 500</w:t>
      </w:r>
      <w:r w:rsidRPr="00C7617B">
        <w:rPr>
          <w:szCs w:val="17"/>
        </w:rPr>
        <w:t xml:space="preserve"> è una lista delle 500 principali aziende a livello globale, stilata in base al fatturato</w:t>
      </w:r>
      <w:r w:rsidR="0089034C" w:rsidRPr="00C7617B">
        <w:rPr>
          <w:szCs w:val="17"/>
        </w:rPr>
        <w:t>.</w:t>
      </w:r>
    </w:p>
  </w:footnote>
  <w:footnote w:id="7">
    <w:p w14:paraId="7D306D56" w14:textId="5D54FD69" w:rsidR="0099414D" w:rsidRDefault="0099414D">
      <w:pPr>
        <w:pStyle w:val="FootnoteText"/>
      </w:pPr>
      <w:r>
        <w:rPr>
          <w:rStyle w:val="FootnoteReference"/>
        </w:rPr>
        <w:footnoteRef/>
      </w:r>
      <w:r>
        <w:t xml:space="preserve"> Per </w:t>
      </w:r>
      <w:r w:rsidRPr="0099414D">
        <w:t>valore del patrimonio gestito secondo S&amp;P Global al 31/03/2023</w:t>
      </w:r>
    </w:p>
  </w:footnote>
  <w:footnote w:id="8">
    <w:p w14:paraId="3C3E7C6B" w14:textId="3E3736CC" w:rsidR="00F66FA6" w:rsidRPr="00082DA7" w:rsidRDefault="00F66FA6" w:rsidP="00F66F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A6BD1" w:rsidRPr="00FA6BD1">
        <w:t>https://www.organismo-am.it/documenti/Analisi_e_Ricerche/Analisi_Terza_Trasmissione_Flussi_VASP.pdf</w:t>
      </w:r>
    </w:p>
  </w:footnote>
  <w:footnote w:id="9">
    <w:p w14:paraId="1639A322" w14:textId="77777777" w:rsidR="00912D7C" w:rsidRPr="002965A8" w:rsidRDefault="00912D7C" w:rsidP="00912D7C">
      <w:pPr>
        <w:pStyle w:val="FootnoteText"/>
      </w:pPr>
      <w:r>
        <w:rPr>
          <w:rStyle w:val="FootnoteReference"/>
        </w:rPr>
        <w:footnoteRef/>
      </w:r>
      <w:r>
        <w:t xml:space="preserve"> Esempi sono il Project Helvetia e il Project Jura, condotti dalla </w:t>
      </w:r>
      <w:r w:rsidRPr="002965A8">
        <w:t xml:space="preserve">Bank for International Settlements (BIS) </w:t>
      </w:r>
      <w:r>
        <w:t>insieme alle banche centrali di Francia e Svizzera</w:t>
      </w:r>
    </w:p>
  </w:footnote>
  <w:footnote w:id="10">
    <w:p w14:paraId="3C340AFF" w14:textId="77777777" w:rsidR="00912D7C" w:rsidRPr="00983201" w:rsidRDefault="00912D7C" w:rsidP="00912D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83201">
        <w:rPr>
          <w:lang w:val="en-US"/>
        </w:rPr>
        <w:t xml:space="preserve"> Si veda il report</w:t>
      </w:r>
      <w:r>
        <w:rPr>
          <w:lang w:val="en-US"/>
        </w:rPr>
        <w:t xml:space="preserve"> BIS</w:t>
      </w:r>
      <w:r w:rsidRPr="00983201">
        <w:rPr>
          <w:lang w:val="en-US"/>
        </w:rPr>
        <w:t xml:space="preserve"> </w:t>
      </w:r>
      <w:r w:rsidRPr="00983201">
        <w:rPr>
          <w:i/>
          <w:iCs/>
          <w:lang w:val="en-US"/>
        </w:rPr>
        <w:t>Blueprint for the future monetary system: improving the old, enabling the new</w:t>
      </w:r>
      <w:r>
        <w:rPr>
          <w:lang w:val="en-US"/>
        </w:rPr>
        <w:t xml:space="preserve"> </w:t>
      </w:r>
      <w:r w:rsidRPr="00983201">
        <w:rPr>
          <w:lang w:val="en-US"/>
        </w:rPr>
        <w:t>https://www.bis.org/publ/arpdf/ar2023e3.htm</w:t>
      </w:r>
    </w:p>
  </w:footnote>
  <w:footnote w:id="11">
    <w:p w14:paraId="29D8DA2E" w14:textId="77777777" w:rsidR="00B66D73" w:rsidRDefault="00B66D73" w:rsidP="00B66D73">
      <w:pPr>
        <w:pStyle w:val="FootnoteText"/>
      </w:pPr>
      <w:r>
        <w:rPr>
          <w:rStyle w:val="FootnoteReference"/>
        </w:rPr>
        <w:footnoteRef/>
      </w:r>
      <w:r>
        <w:t xml:space="preserve"> C</w:t>
      </w:r>
      <w:r w:rsidRPr="007505F3">
        <w:t>rediti deteriorati delle banche (in inglese Non-Performing Loans - NPL)</w:t>
      </w:r>
    </w:p>
  </w:footnote>
  <w:footnote w:id="12">
    <w:p w14:paraId="04CC35D6" w14:textId="77777777" w:rsidR="00082DA7" w:rsidRDefault="00082DA7" w:rsidP="00082DA7">
      <w:pPr>
        <w:pStyle w:val="FootnoteText"/>
      </w:pPr>
      <w:r>
        <w:rPr>
          <w:rStyle w:val="FootnoteReference"/>
        </w:rPr>
        <w:footnoteRef/>
      </w:r>
      <w:r>
        <w:t xml:space="preserve"> Ricerca fatta su un campione rappresentativo della popolazione italiana con accesso a internet e con un’età compresa tra i 18 e i 75 anni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5E403EA5" w:rsidR="0076699A" w:rsidRPr="00795C6C" w:rsidRDefault="000B17DD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ind w:left="426"/>
      <w:rPr>
        <w:rFonts w:ascii="Montserrat" w:eastAsia="Montserrat" w:hAnsi="Montserrat" w:cs="Montserrat"/>
        <w:color w:val="017DC1"/>
        <w:sz w:val="18"/>
        <w:szCs w:val="18"/>
        <w:lang w:val="en-GB"/>
      </w:rPr>
    </w:pPr>
    <w:r w:rsidRPr="00795C6C">
      <w:rPr>
        <w:rFonts w:ascii="Montserrat" w:eastAsia="Montserrat" w:hAnsi="Montserrat" w:cs="Montserrat"/>
        <w:color w:val="017DC1"/>
        <w:sz w:val="18"/>
        <w:szCs w:val="18"/>
        <w:lang w:val="en-GB"/>
      </w:rPr>
      <w:t xml:space="preserve">Booklet </w:t>
    </w:r>
    <w:proofErr w:type="spellStart"/>
    <w:r w:rsidRPr="00795C6C">
      <w:rPr>
        <w:rFonts w:ascii="Montserrat" w:eastAsia="Montserrat" w:hAnsi="Montserrat" w:cs="Montserrat"/>
        <w:color w:val="017DC1"/>
        <w:sz w:val="18"/>
        <w:szCs w:val="18"/>
        <w:lang w:val="en-GB"/>
      </w:rPr>
      <w:t>interattivo</w:t>
    </w:r>
    <w:proofErr w:type="spellEnd"/>
    <w:r w:rsidRPr="00795C6C">
      <w:rPr>
        <w:rFonts w:ascii="Montserrat" w:eastAsia="Montserrat" w:hAnsi="Montserrat" w:cs="Montserrat"/>
        <w:color w:val="017DC1"/>
        <w:sz w:val="18"/>
        <w:szCs w:val="18"/>
        <w:lang w:val="en-GB"/>
      </w:rPr>
      <w:tab/>
    </w:r>
    <w:r w:rsidRPr="00795C6C">
      <w:rPr>
        <w:rFonts w:ascii="Montserrat" w:eastAsia="Montserrat" w:hAnsi="Montserrat" w:cs="Montserrat"/>
        <w:color w:val="017DC1"/>
        <w:sz w:val="18"/>
        <w:szCs w:val="18"/>
        <w:lang w:val="en-GB"/>
      </w:rPr>
      <w:tab/>
      <w:t xml:space="preserve">Blockchain &amp; </w:t>
    </w:r>
    <w:r w:rsidR="00441568">
      <w:rPr>
        <w:rFonts w:ascii="Montserrat" w:eastAsia="Montserrat" w:hAnsi="Montserrat" w:cs="Montserrat"/>
        <w:color w:val="017DC1"/>
        <w:sz w:val="18"/>
        <w:szCs w:val="18"/>
        <w:lang w:val="en-GB"/>
      </w:rPr>
      <w:t>Web3</w:t>
    </w:r>
    <w:r w:rsidRPr="00795C6C">
      <w:rPr>
        <w:rFonts w:ascii="Montserrat" w:eastAsia="Montserrat" w:hAnsi="Montserrat" w:cs="Montserrat"/>
        <w:color w:val="017DC1"/>
        <w:sz w:val="18"/>
        <w:szCs w:val="18"/>
        <w:lang w:val="en-GB"/>
      </w:rPr>
      <w:t xml:space="preserve"> 202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AC8698" wp14:editId="75B42A0A">
              <wp:simplePos x="0" y="0"/>
              <wp:positionH relativeFrom="column">
                <wp:posOffset>190500</wp:posOffset>
              </wp:positionH>
              <wp:positionV relativeFrom="paragraph">
                <wp:posOffset>152400</wp:posOffset>
              </wp:positionV>
              <wp:extent cx="6474188" cy="45085"/>
              <wp:effectExtent l="0" t="0" r="0" b="0"/>
              <wp:wrapNone/>
              <wp:docPr id="8" name="Connettore 2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13669" y="3762220"/>
                        <a:ext cx="6464663" cy="355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50BA9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8" o:spid="_x0000_s1026" type="#_x0000_t32" style="position:absolute;margin-left:15pt;margin-top:12pt;width:509.8pt;height:3.5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" strokecolor="#002e54 [3204]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BDC403" wp14:editId="5A156834">
          <wp:simplePos x="0" y="0"/>
          <wp:positionH relativeFrom="column">
            <wp:posOffset>10161</wp:posOffset>
          </wp:positionH>
          <wp:positionV relativeFrom="paragraph">
            <wp:posOffset>13334</wp:posOffset>
          </wp:positionV>
          <wp:extent cx="178435" cy="17843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435" cy="178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1568">
      <w:rPr>
        <w:rFonts w:ascii="Montserrat" w:eastAsia="Montserrat" w:hAnsi="Montserrat" w:cs="Montserrat"/>
        <w:color w:val="017DC1"/>
        <w:sz w:val="18"/>
        <w:szCs w:val="18"/>
        <w:lang w:val="en-GB"/>
      </w:rPr>
      <w:t>3</w:t>
    </w:r>
  </w:p>
  <w:p w14:paraId="000000B4" w14:textId="77777777" w:rsidR="0076699A" w:rsidRPr="00795C6C" w:rsidRDefault="0076699A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ind w:left="426"/>
      <w:rPr>
        <w:rFonts w:ascii="Montserrat" w:eastAsia="Montserrat" w:hAnsi="Montserrat" w:cs="Montserrat"/>
        <w:color w:val="017DC1"/>
        <w:sz w:val="18"/>
        <w:szCs w:val="18"/>
        <w:lang w:val="en-GB"/>
      </w:rPr>
    </w:pPr>
  </w:p>
  <w:p w14:paraId="000000B5" w14:textId="77777777" w:rsidR="0076699A" w:rsidRPr="00795C6C" w:rsidRDefault="0076699A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ind w:left="426"/>
      <w:rPr>
        <w:rFonts w:ascii="Montserrat" w:eastAsia="Montserrat" w:hAnsi="Montserrat" w:cs="Montserrat"/>
        <w:color w:val="017DC1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E0E"/>
    <w:multiLevelType w:val="hybridMultilevel"/>
    <w:tmpl w:val="CFB4A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49E2"/>
    <w:multiLevelType w:val="multilevel"/>
    <w:tmpl w:val="629A0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45A9B"/>
    <w:multiLevelType w:val="hybridMultilevel"/>
    <w:tmpl w:val="6B68F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6100"/>
    <w:multiLevelType w:val="multilevel"/>
    <w:tmpl w:val="17DA5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986419">
    <w:abstractNumId w:val="1"/>
  </w:num>
  <w:num w:numId="2" w16cid:durableId="53771996">
    <w:abstractNumId w:val="3"/>
  </w:num>
  <w:num w:numId="3" w16cid:durableId="175510534">
    <w:abstractNumId w:val="2"/>
  </w:num>
  <w:num w:numId="4" w16cid:durableId="174811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A"/>
    <w:rsid w:val="000009FD"/>
    <w:rsid w:val="00004B3B"/>
    <w:rsid w:val="0000509E"/>
    <w:rsid w:val="00007E7D"/>
    <w:rsid w:val="00012126"/>
    <w:rsid w:val="00021E5E"/>
    <w:rsid w:val="00032F23"/>
    <w:rsid w:val="000330FD"/>
    <w:rsid w:val="000359F2"/>
    <w:rsid w:val="00035DA7"/>
    <w:rsid w:val="00041137"/>
    <w:rsid w:val="00041B1E"/>
    <w:rsid w:val="00055154"/>
    <w:rsid w:val="000674F0"/>
    <w:rsid w:val="00070F09"/>
    <w:rsid w:val="000742A7"/>
    <w:rsid w:val="00082673"/>
    <w:rsid w:val="00082DA7"/>
    <w:rsid w:val="0008583C"/>
    <w:rsid w:val="00086EC8"/>
    <w:rsid w:val="0008798A"/>
    <w:rsid w:val="00092867"/>
    <w:rsid w:val="000A178F"/>
    <w:rsid w:val="000A4FCE"/>
    <w:rsid w:val="000A77CA"/>
    <w:rsid w:val="000B07FD"/>
    <w:rsid w:val="000B17DD"/>
    <w:rsid w:val="000B38D5"/>
    <w:rsid w:val="000B46D0"/>
    <w:rsid w:val="000D00FF"/>
    <w:rsid w:val="000E1FBD"/>
    <w:rsid w:val="000E3D26"/>
    <w:rsid w:val="000E752C"/>
    <w:rsid w:val="000F2E51"/>
    <w:rsid w:val="000F4729"/>
    <w:rsid w:val="001014E3"/>
    <w:rsid w:val="00101E2B"/>
    <w:rsid w:val="00107E4D"/>
    <w:rsid w:val="00112496"/>
    <w:rsid w:val="00115F08"/>
    <w:rsid w:val="00121DC7"/>
    <w:rsid w:val="001269F7"/>
    <w:rsid w:val="001273DC"/>
    <w:rsid w:val="00130C05"/>
    <w:rsid w:val="001334D3"/>
    <w:rsid w:val="00135C4C"/>
    <w:rsid w:val="001370EC"/>
    <w:rsid w:val="00143B86"/>
    <w:rsid w:val="00151358"/>
    <w:rsid w:val="0016049E"/>
    <w:rsid w:val="00162BE1"/>
    <w:rsid w:val="00162E64"/>
    <w:rsid w:val="001659D8"/>
    <w:rsid w:val="0016788A"/>
    <w:rsid w:val="00180EA1"/>
    <w:rsid w:val="00191A15"/>
    <w:rsid w:val="00191F09"/>
    <w:rsid w:val="00191F88"/>
    <w:rsid w:val="001B1DCF"/>
    <w:rsid w:val="001D0AF3"/>
    <w:rsid w:val="001D6FAC"/>
    <w:rsid w:val="001E09F9"/>
    <w:rsid w:val="001E5435"/>
    <w:rsid w:val="001F1EEA"/>
    <w:rsid w:val="001F25DB"/>
    <w:rsid w:val="00201D06"/>
    <w:rsid w:val="00211D1F"/>
    <w:rsid w:val="00215601"/>
    <w:rsid w:val="00224BCE"/>
    <w:rsid w:val="002251FF"/>
    <w:rsid w:val="002313BB"/>
    <w:rsid w:val="00231465"/>
    <w:rsid w:val="00240098"/>
    <w:rsid w:val="002404BB"/>
    <w:rsid w:val="00242392"/>
    <w:rsid w:val="0026083A"/>
    <w:rsid w:val="0027016B"/>
    <w:rsid w:val="00276BFF"/>
    <w:rsid w:val="00277189"/>
    <w:rsid w:val="0028355D"/>
    <w:rsid w:val="00283AA2"/>
    <w:rsid w:val="002965A8"/>
    <w:rsid w:val="002B67AF"/>
    <w:rsid w:val="002C1078"/>
    <w:rsid w:val="002C35E1"/>
    <w:rsid w:val="002C5AF4"/>
    <w:rsid w:val="002D4FBC"/>
    <w:rsid w:val="002D5EBC"/>
    <w:rsid w:val="002D61F1"/>
    <w:rsid w:val="002E5478"/>
    <w:rsid w:val="002F0BFD"/>
    <w:rsid w:val="002F338E"/>
    <w:rsid w:val="00314462"/>
    <w:rsid w:val="0033029F"/>
    <w:rsid w:val="00331C1E"/>
    <w:rsid w:val="00346174"/>
    <w:rsid w:val="00351568"/>
    <w:rsid w:val="003526D9"/>
    <w:rsid w:val="00355CCE"/>
    <w:rsid w:val="0036395B"/>
    <w:rsid w:val="003640FB"/>
    <w:rsid w:val="00372B48"/>
    <w:rsid w:val="00375E74"/>
    <w:rsid w:val="00380A1D"/>
    <w:rsid w:val="0038475A"/>
    <w:rsid w:val="00390072"/>
    <w:rsid w:val="00393C02"/>
    <w:rsid w:val="00394426"/>
    <w:rsid w:val="00395FA8"/>
    <w:rsid w:val="0039639A"/>
    <w:rsid w:val="003A2A6B"/>
    <w:rsid w:val="003B2D92"/>
    <w:rsid w:val="003C466B"/>
    <w:rsid w:val="003C58DB"/>
    <w:rsid w:val="003C6B10"/>
    <w:rsid w:val="003D09CB"/>
    <w:rsid w:val="003D273A"/>
    <w:rsid w:val="003D493A"/>
    <w:rsid w:val="003E6C52"/>
    <w:rsid w:val="003F0142"/>
    <w:rsid w:val="003F7D6E"/>
    <w:rsid w:val="004100C2"/>
    <w:rsid w:val="004128B8"/>
    <w:rsid w:val="00421D6F"/>
    <w:rsid w:val="0043139E"/>
    <w:rsid w:val="00441568"/>
    <w:rsid w:val="0044501D"/>
    <w:rsid w:val="00465F97"/>
    <w:rsid w:val="004871D6"/>
    <w:rsid w:val="0049183C"/>
    <w:rsid w:val="004A260F"/>
    <w:rsid w:val="004B124C"/>
    <w:rsid w:val="004B2407"/>
    <w:rsid w:val="004B6652"/>
    <w:rsid w:val="004C11A6"/>
    <w:rsid w:val="004E22E9"/>
    <w:rsid w:val="004E23D6"/>
    <w:rsid w:val="004E42B6"/>
    <w:rsid w:val="004F2CA2"/>
    <w:rsid w:val="004F4234"/>
    <w:rsid w:val="004F54F5"/>
    <w:rsid w:val="00502170"/>
    <w:rsid w:val="00504752"/>
    <w:rsid w:val="00505ABD"/>
    <w:rsid w:val="00505F4E"/>
    <w:rsid w:val="005209C0"/>
    <w:rsid w:val="00522497"/>
    <w:rsid w:val="005224BE"/>
    <w:rsid w:val="00535632"/>
    <w:rsid w:val="00545F78"/>
    <w:rsid w:val="00550090"/>
    <w:rsid w:val="00562F4A"/>
    <w:rsid w:val="00565968"/>
    <w:rsid w:val="00572D66"/>
    <w:rsid w:val="00587DFA"/>
    <w:rsid w:val="00590D30"/>
    <w:rsid w:val="0059319E"/>
    <w:rsid w:val="00595A5F"/>
    <w:rsid w:val="00597641"/>
    <w:rsid w:val="005A39AA"/>
    <w:rsid w:val="005B3AFA"/>
    <w:rsid w:val="005B75D1"/>
    <w:rsid w:val="005C0F90"/>
    <w:rsid w:val="005C1412"/>
    <w:rsid w:val="005C2E17"/>
    <w:rsid w:val="005C348D"/>
    <w:rsid w:val="005C4365"/>
    <w:rsid w:val="005C4C0E"/>
    <w:rsid w:val="005C4D96"/>
    <w:rsid w:val="005C5D27"/>
    <w:rsid w:val="005C6C05"/>
    <w:rsid w:val="005C6E75"/>
    <w:rsid w:val="005D448A"/>
    <w:rsid w:val="005E2928"/>
    <w:rsid w:val="005E38B1"/>
    <w:rsid w:val="005F6543"/>
    <w:rsid w:val="00601C6E"/>
    <w:rsid w:val="006030F4"/>
    <w:rsid w:val="00604029"/>
    <w:rsid w:val="006220A1"/>
    <w:rsid w:val="00624496"/>
    <w:rsid w:val="00632399"/>
    <w:rsid w:val="0063340C"/>
    <w:rsid w:val="0063471F"/>
    <w:rsid w:val="00635A9E"/>
    <w:rsid w:val="00636758"/>
    <w:rsid w:val="0065376C"/>
    <w:rsid w:val="00657BD0"/>
    <w:rsid w:val="0066181D"/>
    <w:rsid w:val="006627CF"/>
    <w:rsid w:val="00664F04"/>
    <w:rsid w:val="0066674E"/>
    <w:rsid w:val="0067263C"/>
    <w:rsid w:val="00672CA1"/>
    <w:rsid w:val="00681132"/>
    <w:rsid w:val="006857FA"/>
    <w:rsid w:val="0069130F"/>
    <w:rsid w:val="006957F1"/>
    <w:rsid w:val="006A474C"/>
    <w:rsid w:val="006A6E81"/>
    <w:rsid w:val="006A71F1"/>
    <w:rsid w:val="006B1F00"/>
    <w:rsid w:val="006B5E2A"/>
    <w:rsid w:val="006B7D4A"/>
    <w:rsid w:val="006C09FF"/>
    <w:rsid w:val="006C74D2"/>
    <w:rsid w:val="006D4316"/>
    <w:rsid w:val="006E3540"/>
    <w:rsid w:val="006E4A4E"/>
    <w:rsid w:val="006E6E12"/>
    <w:rsid w:val="006E79D6"/>
    <w:rsid w:val="006F38E6"/>
    <w:rsid w:val="00700303"/>
    <w:rsid w:val="00710528"/>
    <w:rsid w:val="00710D6B"/>
    <w:rsid w:val="0071227B"/>
    <w:rsid w:val="007138AF"/>
    <w:rsid w:val="0071677B"/>
    <w:rsid w:val="007168E5"/>
    <w:rsid w:val="0072131B"/>
    <w:rsid w:val="007258F6"/>
    <w:rsid w:val="00726C57"/>
    <w:rsid w:val="007275C8"/>
    <w:rsid w:val="00734A26"/>
    <w:rsid w:val="00734AA4"/>
    <w:rsid w:val="00740D17"/>
    <w:rsid w:val="007500F0"/>
    <w:rsid w:val="007505F3"/>
    <w:rsid w:val="0075097A"/>
    <w:rsid w:val="00752089"/>
    <w:rsid w:val="007529B8"/>
    <w:rsid w:val="00753A9D"/>
    <w:rsid w:val="00754F9B"/>
    <w:rsid w:val="00757407"/>
    <w:rsid w:val="007601B3"/>
    <w:rsid w:val="0076188A"/>
    <w:rsid w:val="0076699A"/>
    <w:rsid w:val="0077035E"/>
    <w:rsid w:val="00774980"/>
    <w:rsid w:val="007771FE"/>
    <w:rsid w:val="00777910"/>
    <w:rsid w:val="007922B3"/>
    <w:rsid w:val="00795C6C"/>
    <w:rsid w:val="007A1C2F"/>
    <w:rsid w:val="007A2A82"/>
    <w:rsid w:val="007B291C"/>
    <w:rsid w:val="007E15EC"/>
    <w:rsid w:val="007E2BD7"/>
    <w:rsid w:val="007F07BF"/>
    <w:rsid w:val="007F4F38"/>
    <w:rsid w:val="007F6FA9"/>
    <w:rsid w:val="007F75C5"/>
    <w:rsid w:val="00812D7B"/>
    <w:rsid w:val="00815D0F"/>
    <w:rsid w:val="00834858"/>
    <w:rsid w:val="00834E84"/>
    <w:rsid w:val="00844E61"/>
    <w:rsid w:val="008454B4"/>
    <w:rsid w:val="00845B72"/>
    <w:rsid w:val="00854893"/>
    <w:rsid w:val="0086357D"/>
    <w:rsid w:val="008645F1"/>
    <w:rsid w:val="00864656"/>
    <w:rsid w:val="00877F14"/>
    <w:rsid w:val="0089034C"/>
    <w:rsid w:val="00893640"/>
    <w:rsid w:val="00893DFE"/>
    <w:rsid w:val="00894C6C"/>
    <w:rsid w:val="00895CDD"/>
    <w:rsid w:val="008A293F"/>
    <w:rsid w:val="008B260B"/>
    <w:rsid w:val="008B2B84"/>
    <w:rsid w:val="008B2C6F"/>
    <w:rsid w:val="008B3629"/>
    <w:rsid w:val="008B3F83"/>
    <w:rsid w:val="008B5614"/>
    <w:rsid w:val="008B74AB"/>
    <w:rsid w:val="008C4327"/>
    <w:rsid w:val="008C6B37"/>
    <w:rsid w:val="008C7B67"/>
    <w:rsid w:val="008D750B"/>
    <w:rsid w:val="008E52D1"/>
    <w:rsid w:val="008F266C"/>
    <w:rsid w:val="008F5F21"/>
    <w:rsid w:val="008F6462"/>
    <w:rsid w:val="008F6EA0"/>
    <w:rsid w:val="00905A01"/>
    <w:rsid w:val="00906A68"/>
    <w:rsid w:val="0091119D"/>
    <w:rsid w:val="00912D7C"/>
    <w:rsid w:val="00914C86"/>
    <w:rsid w:val="009237BE"/>
    <w:rsid w:val="009245C9"/>
    <w:rsid w:val="009352ED"/>
    <w:rsid w:val="009458A3"/>
    <w:rsid w:val="00945E4C"/>
    <w:rsid w:val="00956F5C"/>
    <w:rsid w:val="009625D2"/>
    <w:rsid w:val="009655DF"/>
    <w:rsid w:val="0097001E"/>
    <w:rsid w:val="00971A1A"/>
    <w:rsid w:val="00983201"/>
    <w:rsid w:val="0099414D"/>
    <w:rsid w:val="0099461F"/>
    <w:rsid w:val="009A0A97"/>
    <w:rsid w:val="009A3FED"/>
    <w:rsid w:val="009A5520"/>
    <w:rsid w:val="009B506E"/>
    <w:rsid w:val="009B6F66"/>
    <w:rsid w:val="009C36BE"/>
    <w:rsid w:val="009D7756"/>
    <w:rsid w:val="009E1824"/>
    <w:rsid w:val="009E3ADC"/>
    <w:rsid w:val="009F5002"/>
    <w:rsid w:val="00A02F84"/>
    <w:rsid w:val="00A1493F"/>
    <w:rsid w:val="00A17C70"/>
    <w:rsid w:val="00A20B4A"/>
    <w:rsid w:val="00A26513"/>
    <w:rsid w:val="00A30747"/>
    <w:rsid w:val="00A40D3F"/>
    <w:rsid w:val="00A41F51"/>
    <w:rsid w:val="00A51E91"/>
    <w:rsid w:val="00A67399"/>
    <w:rsid w:val="00A76180"/>
    <w:rsid w:val="00A91275"/>
    <w:rsid w:val="00A929A1"/>
    <w:rsid w:val="00A95197"/>
    <w:rsid w:val="00A960C8"/>
    <w:rsid w:val="00AA04C9"/>
    <w:rsid w:val="00AA3888"/>
    <w:rsid w:val="00AA49FE"/>
    <w:rsid w:val="00AA5557"/>
    <w:rsid w:val="00AB675A"/>
    <w:rsid w:val="00AD6A2C"/>
    <w:rsid w:val="00AF05F7"/>
    <w:rsid w:val="00B055BB"/>
    <w:rsid w:val="00B0657F"/>
    <w:rsid w:val="00B11368"/>
    <w:rsid w:val="00B171E4"/>
    <w:rsid w:val="00B32D64"/>
    <w:rsid w:val="00B33CA8"/>
    <w:rsid w:val="00B44972"/>
    <w:rsid w:val="00B4789F"/>
    <w:rsid w:val="00B51612"/>
    <w:rsid w:val="00B51F53"/>
    <w:rsid w:val="00B64932"/>
    <w:rsid w:val="00B669BC"/>
    <w:rsid w:val="00B669E1"/>
    <w:rsid w:val="00B66D73"/>
    <w:rsid w:val="00B70901"/>
    <w:rsid w:val="00B767AA"/>
    <w:rsid w:val="00B77FB3"/>
    <w:rsid w:val="00B94D00"/>
    <w:rsid w:val="00B95B8F"/>
    <w:rsid w:val="00BA0EDB"/>
    <w:rsid w:val="00BA2B70"/>
    <w:rsid w:val="00BA5BA7"/>
    <w:rsid w:val="00BB0DE2"/>
    <w:rsid w:val="00BB6D20"/>
    <w:rsid w:val="00BC5EA9"/>
    <w:rsid w:val="00BC5FCB"/>
    <w:rsid w:val="00BC65B5"/>
    <w:rsid w:val="00BE1B9A"/>
    <w:rsid w:val="00BE2A0F"/>
    <w:rsid w:val="00BE624E"/>
    <w:rsid w:val="00BF624D"/>
    <w:rsid w:val="00BF6D23"/>
    <w:rsid w:val="00C1321E"/>
    <w:rsid w:val="00C26582"/>
    <w:rsid w:val="00C30D81"/>
    <w:rsid w:val="00C3735C"/>
    <w:rsid w:val="00C405D7"/>
    <w:rsid w:val="00C42D28"/>
    <w:rsid w:val="00C42DC7"/>
    <w:rsid w:val="00C439B3"/>
    <w:rsid w:val="00C63A1E"/>
    <w:rsid w:val="00C751AD"/>
    <w:rsid w:val="00C7617B"/>
    <w:rsid w:val="00C7678C"/>
    <w:rsid w:val="00C80165"/>
    <w:rsid w:val="00C83EA4"/>
    <w:rsid w:val="00C840D1"/>
    <w:rsid w:val="00C841BE"/>
    <w:rsid w:val="00CA6D3A"/>
    <w:rsid w:val="00CA7019"/>
    <w:rsid w:val="00CC316F"/>
    <w:rsid w:val="00CC422E"/>
    <w:rsid w:val="00CC4A64"/>
    <w:rsid w:val="00CC5DCF"/>
    <w:rsid w:val="00CD4D8D"/>
    <w:rsid w:val="00CD6C15"/>
    <w:rsid w:val="00CE30DB"/>
    <w:rsid w:val="00CE6609"/>
    <w:rsid w:val="00CE705D"/>
    <w:rsid w:val="00CF23B8"/>
    <w:rsid w:val="00CF54F4"/>
    <w:rsid w:val="00D00C5B"/>
    <w:rsid w:val="00D03D70"/>
    <w:rsid w:val="00D057C6"/>
    <w:rsid w:val="00D07329"/>
    <w:rsid w:val="00D07574"/>
    <w:rsid w:val="00D07BF1"/>
    <w:rsid w:val="00D11C1D"/>
    <w:rsid w:val="00D13307"/>
    <w:rsid w:val="00D15BE2"/>
    <w:rsid w:val="00D30968"/>
    <w:rsid w:val="00D31FDF"/>
    <w:rsid w:val="00D339CC"/>
    <w:rsid w:val="00D350B7"/>
    <w:rsid w:val="00D37F66"/>
    <w:rsid w:val="00D42BD4"/>
    <w:rsid w:val="00D510EC"/>
    <w:rsid w:val="00D52E1B"/>
    <w:rsid w:val="00D57BDB"/>
    <w:rsid w:val="00D63CB9"/>
    <w:rsid w:val="00D67C5A"/>
    <w:rsid w:val="00D71E07"/>
    <w:rsid w:val="00D7348F"/>
    <w:rsid w:val="00D854E3"/>
    <w:rsid w:val="00D90683"/>
    <w:rsid w:val="00D93BA9"/>
    <w:rsid w:val="00D93C45"/>
    <w:rsid w:val="00D96ACB"/>
    <w:rsid w:val="00DA0C2F"/>
    <w:rsid w:val="00DA4828"/>
    <w:rsid w:val="00DA7829"/>
    <w:rsid w:val="00DC0DB6"/>
    <w:rsid w:val="00DC6462"/>
    <w:rsid w:val="00DD2BA5"/>
    <w:rsid w:val="00DD44A4"/>
    <w:rsid w:val="00DF7A9E"/>
    <w:rsid w:val="00E00A90"/>
    <w:rsid w:val="00E058A5"/>
    <w:rsid w:val="00E14688"/>
    <w:rsid w:val="00E2102F"/>
    <w:rsid w:val="00E27C14"/>
    <w:rsid w:val="00E34B8D"/>
    <w:rsid w:val="00E370C2"/>
    <w:rsid w:val="00E44A2D"/>
    <w:rsid w:val="00E51728"/>
    <w:rsid w:val="00E57FB6"/>
    <w:rsid w:val="00E60494"/>
    <w:rsid w:val="00E72005"/>
    <w:rsid w:val="00E75D32"/>
    <w:rsid w:val="00E769A6"/>
    <w:rsid w:val="00E8482D"/>
    <w:rsid w:val="00E95D49"/>
    <w:rsid w:val="00EA5E95"/>
    <w:rsid w:val="00EA75DC"/>
    <w:rsid w:val="00EB1CCC"/>
    <w:rsid w:val="00EB2D92"/>
    <w:rsid w:val="00EC04EF"/>
    <w:rsid w:val="00EC2611"/>
    <w:rsid w:val="00EE73F2"/>
    <w:rsid w:val="00EF710C"/>
    <w:rsid w:val="00F014A9"/>
    <w:rsid w:val="00F018C2"/>
    <w:rsid w:val="00F1410E"/>
    <w:rsid w:val="00F14772"/>
    <w:rsid w:val="00F356B2"/>
    <w:rsid w:val="00F36F31"/>
    <w:rsid w:val="00F42CBD"/>
    <w:rsid w:val="00F468CC"/>
    <w:rsid w:val="00F46E60"/>
    <w:rsid w:val="00F52224"/>
    <w:rsid w:val="00F61CBA"/>
    <w:rsid w:val="00F639BA"/>
    <w:rsid w:val="00F63B75"/>
    <w:rsid w:val="00F66FA6"/>
    <w:rsid w:val="00F67859"/>
    <w:rsid w:val="00F729FB"/>
    <w:rsid w:val="00F77B5C"/>
    <w:rsid w:val="00F843D7"/>
    <w:rsid w:val="00F879EE"/>
    <w:rsid w:val="00F9056B"/>
    <w:rsid w:val="00F93635"/>
    <w:rsid w:val="00F9421B"/>
    <w:rsid w:val="00F96D07"/>
    <w:rsid w:val="00F97A68"/>
    <w:rsid w:val="00FA6BD1"/>
    <w:rsid w:val="00FB398E"/>
    <w:rsid w:val="00FB77B5"/>
    <w:rsid w:val="00FC3A1E"/>
    <w:rsid w:val="00FC3A43"/>
    <w:rsid w:val="00FC4ED0"/>
    <w:rsid w:val="00FD3B7F"/>
    <w:rsid w:val="00FD4111"/>
    <w:rsid w:val="00FD4973"/>
    <w:rsid w:val="00FE0602"/>
    <w:rsid w:val="00FE3C1A"/>
    <w:rsid w:val="00FF1012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809E"/>
  <w15:docId w15:val="{06F2C54D-3166-5F4B-A473-930A83BC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1E"/>
  </w:style>
  <w:style w:type="paragraph" w:styleId="Heading1">
    <w:name w:val="heading 1"/>
    <w:basedOn w:val="Normal"/>
    <w:next w:val="Normal"/>
    <w:link w:val="Heading1Char"/>
    <w:uiPriority w:val="9"/>
    <w:qFormat/>
    <w:rsid w:val="002756E1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bCs/>
      <w:color w:val="017DC1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6E1"/>
    <w:pPr>
      <w:keepNext/>
      <w:keepLines/>
      <w:spacing w:before="40"/>
      <w:outlineLvl w:val="1"/>
    </w:pPr>
    <w:rPr>
      <w:rFonts w:ascii="Montserrat" w:eastAsiaTheme="majorEastAsia" w:hAnsi="Montserrat" w:cstheme="majorBidi"/>
      <w:color w:val="017DC1" w:themeColor="accent2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16E4D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756E1"/>
    <w:rPr>
      <w:rFonts w:ascii="Montserrat" w:eastAsiaTheme="majorEastAsia" w:hAnsi="Montserrat" w:cstheme="majorBidi"/>
      <w:b/>
      <w:bCs/>
      <w:color w:val="017DC1" w:themeColor="accent2"/>
      <w:sz w:val="28"/>
      <w:szCs w:val="28"/>
    </w:rPr>
  </w:style>
  <w:style w:type="character" w:styleId="Strong">
    <w:name w:val="Strong"/>
    <w:basedOn w:val="DefaultParagraphFont"/>
    <w:uiPriority w:val="22"/>
    <w:qFormat/>
    <w:rsid w:val="006D7E08"/>
    <w:rPr>
      <w:b/>
      <w:bCs/>
    </w:rPr>
  </w:style>
  <w:style w:type="character" w:styleId="BookTitle">
    <w:name w:val="Book Title"/>
    <w:basedOn w:val="DefaultParagraphFont"/>
    <w:uiPriority w:val="33"/>
    <w:qFormat/>
    <w:rsid w:val="006D7E08"/>
    <w:rPr>
      <w:b/>
      <w:bCs/>
      <w:i/>
      <w:iCs/>
      <w:spacing w:val="5"/>
    </w:rPr>
  </w:style>
  <w:style w:type="character" w:customStyle="1" w:styleId="TitleChar">
    <w:name w:val="Title Char"/>
    <w:basedOn w:val="DefaultParagraphFont"/>
    <w:link w:val="Title"/>
    <w:uiPriority w:val="10"/>
    <w:rsid w:val="00E16E4D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styleId="Emphasis">
    <w:name w:val="Emphasis"/>
    <w:basedOn w:val="DefaultParagraphFont"/>
    <w:uiPriority w:val="20"/>
    <w:qFormat/>
    <w:rsid w:val="006D7E08"/>
    <w:rPr>
      <w:i/>
      <w:iCs/>
    </w:rPr>
  </w:style>
  <w:style w:type="paragraph" w:customStyle="1" w:styleId="NOTEEDITORIALI">
    <w:name w:val="NOTE EDITORIALI"/>
    <w:basedOn w:val="Normal"/>
    <w:qFormat/>
    <w:rsid w:val="009F4EC2"/>
    <w:rPr>
      <w:i/>
      <w:iCs/>
      <w:color w:val="FF0000"/>
      <w:sz w:val="18"/>
      <w:szCs w:val="18"/>
    </w:rPr>
  </w:style>
  <w:style w:type="paragraph" w:customStyle="1" w:styleId="NomeOsservatorio">
    <w:name w:val="Nome Osservatorio"/>
    <w:basedOn w:val="Normal"/>
    <w:qFormat/>
    <w:rsid w:val="004A2645"/>
    <w:pPr>
      <w:spacing w:before="240"/>
    </w:pPr>
    <w:rPr>
      <w:rFonts w:ascii="Montserrat" w:hAnsi="Montserrat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20627"/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0627"/>
    <w:rPr>
      <w:rFonts w:ascii="Roboto" w:hAnsi="Roboto"/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0EC"/>
    <w:rPr>
      <w:vertAlign w:val="superscript"/>
    </w:rPr>
  </w:style>
  <w:style w:type="paragraph" w:customStyle="1" w:styleId="Notapiepag">
    <w:name w:val="Nota pie pag"/>
    <w:basedOn w:val="FootnoteText"/>
    <w:qFormat/>
    <w:rsid w:val="005F40E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6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61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6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14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614"/>
  </w:style>
  <w:style w:type="paragraph" w:customStyle="1" w:styleId="Intestazioni">
    <w:name w:val="Intestazioni"/>
    <w:basedOn w:val="Header"/>
    <w:qFormat/>
    <w:rsid w:val="00F83F3C"/>
    <w:pPr>
      <w:tabs>
        <w:tab w:val="clear" w:pos="9638"/>
        <w:tab w:val="right" w:pos="10460"/>
      </w:tabs>
      <w:ind w:left="426"/>
    </w:pPr>
    <w:rPr>
      <w:rFonts w:ascii="Montserrat" w:hAnsi="Montserrat"/>
      <w:color w:val="017DC1" w:themeColor="accen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756E1"/>
    <w:rPr>
      <w:rFonts w:ascii="Montserrat" w:eastAsiaTheme="majorEastAsia" w:hAnsi="Montserrat" w:cstheme="majorBidi"/>
      <w:color w:val="017DC1" w:themeColor="accent2"/>
    </w:rPr>
  </w:style>
  <w:style w:type="character" w:styleId="Hyperlink">
    <w:name w:val="Hyperlink"/>
    <w:basedOn w:val="DefaultParagraphFont"/>
    <w:uiPriority w:val="99"/>
    <w:unhideWhenUsed/>
    <w:rsid w:val="002756E1"/>
    <w:rPr>
      <w:color w:val="FF655C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275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6E1"/>
    <w:rPr>
      <w:color w:val="16AA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627"/>
    <w:pPr>
      <w:ind w:left="720"/>
      <w:contextualSpacing/>
    </w:pPr>
  </w:style>
  <w:style w:type="paragraph" w:customStyle="1" w:styleId="Grafico">
    <w:name w:val="Grafico"/>
    <w:basedOn w:val="Normal"/>
    <w:qFormat/>
    <w:rsid w:val="008E18D5"/>
    <w:rPr>
      <w:color w:val="00B05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8C22A3"/>
    <w:pPr>
      <w:tabs>
        <w:tab w:val="right" w:leader="dot" w:pos="10450"/>
      </w:tabs>
      <w:spacing w:after="100"/>
    </w:pPr>
    <w:rPr>
      <w:b/>
      <w:noProof/>
      <w:color w:val="017DC1" w:themeColor="accent2"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8C22A3"/>
    <w:pPr>
      <w:spacing w:after="100"/>
      <w:ind w:left="200"/>
    </w:pPr>
    <w:rPr>
      <w:color w:val="017DC1" w:themeColor="accent2"/>
      <w:sz w:val="17"/>
    </w:rPr>
  </w:style>
  <w:style w:type="paragraph" w:customStyle="1" w:styleId="APPROF">
    <w:name w:val="APPROF"/>
    <w:basedOn w:val="Normal"/>
    <w:qFormat/>
    <w:rsid w:val="008F6B6A"/>
    <w:rPr>
      <w:color w:val="F89B6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0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F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00F56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F56"/>
    <w:rPr>
      <w:rFonts w:ascii="Roboto" w:hAnsi="Robo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6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752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2F0B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82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09014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35547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0158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66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4542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00060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68086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3214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856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ss 2020 r">
      <a:dk1>
        <a:srgbClr val="000000"/>
      </a:dk1>
      <a:lt1>
        <a:srgbClr val="FFFFFF"/>
      </a:lt1>
      <a:dk2>
        <a:srgbClr val="FF655C"/>
      </a:dk2>
      <a:lt2>
        <a:srgbClr val="16AAFF"/>
      </a:lt2>
      <a:accent1>
        <a:srgbClr val="002E54"/>
      </a:accent1>
      <a:accent2>
        <a:srgbClr val="017DC1"/>
      </a:accent2>
      <a:accent3>
        <a:srgbClr val="00BBE6"/>
      </a:accent3>
      <a:accent4>
        <a:srgbClr val="92E6FD"/>
      </a:accent4>
      <a:accent5>
        <a:srgbClr val="00799B"/>
      </a:accent5>
      <a:accent6>
        <a:srgbClr val="49BECD"/>
      </a:accent6>
      <a:hlink>
        <a:srgbClr val="FF655C"/>
      </a:hlink>
      <a:folHlink>
        <a:srgbClr val="16AA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61367d-0b5d-48df-96c3-6d9ddb289c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q+CDD4VFp0ok0FhuBsCNpUbaJA==">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F474A59C9E24D9113FDDA285BED8F" ma:contentTypeVersion="15" ma:contentTypeDescription="Creare un nuovo documento." ma:contentTypeScope="" ma:versionID="89b401da467b34a551996e5c32c7945f">
  <xsd:schema xmlns:xsd="http://www.w3.org/2001/XMLSchema" xmlns:xs="http://www.w3.org/2001/XMLSchema" xmlns:p="http://schemas.microsoft.com/office/2006/metadata/properties" xmlns:ns3="1d61367d-0b5d-48df-96c3-6d9ddb289c60" xmlns:ns4="573d35cc-47d2-4357-be60-f7959aca7f49" targetNamespace="http://schemas.microsoft.com/office/2006/metadata/properties" ma:root="true" ma:fieldsID="fb9f74ce0ae1a42884c7749630b906b1" ns3:_="" ns4:_="">
    <xsd:import namespace="1d61367d-0b5d-48df-96c3-6d9ddb289c60"/>
    <xsd:import namespace="573d35cc-47d2-4357-be60-f7959aca7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367d-0b5d-48df-96c3-6d9ddb289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35cc-47d2-4357-be60-f7959aca7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6097C-17A8-4E27-AE06-B8F92EFEB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25EA2-022B-4787-9203-E6B9ED6E4D4E}">
  <ds:schemaRefs>
    <ds:schemaRef ds:uri="http://schemas.microsoft.com/office/2006/metadata/properties"/>
    <ds:schemaRef ds:uri="http://schemas.microsoft.com/office/infopath/2007/PartnerControls"/>
    <ds:schemaRef ds:uri="1d61367d-0b5d-48df-96c3-6d9ddb289c60"/>
  </ds:schemaRefs>
</ds:datastoreItem>
</file>

<file path=customXml/itemProps3.xml><?xml version="1.0" encoding="utf-8"?>
<ds:datastoreItem xmlns:ds="http://schemas.openxmlformats.org/officeDocument/2006/customXml" ds:itemID="{F0DAC919-491F-FE47-BE95-9A4A7DDCA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E136EB7-C898-4E1E-BB4A-F0CF2DD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1367d-0b5d-48df-96c3-6d9ddb289c60"/>
    <ds:schemaRef ds:uri="573d35cc-47d2-4357-be60-f7959aca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3384</Words>
  <Characters>19291</Characters>
  <Application>Microsoft Office Word</Application>
  <DocSecurity>0</DocSecurity>
  <Lines>160</Lines>
  <Paragraphs>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Erba</dc:creator>
  <cp:lastModifiedBy>Ettore Zauli</cp:lastModifiedBy>
  <cp:revision>16</cp:revision>
  <dcterms:created xsi:type="dcterms:W3CDTF">2024-01-08T11:10:00Z</dcterms:created>
  <dcterms:modified xsi:type="dcterms:W3CDTF">2024-01-15T15:46:00Z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0x01010038CF474A59C9E24D9113FDDA285BED8F</vt:lpwstr>
  </property>
</Properties>
</file>