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CFFE" w14:textId="77777777" w:rsidR="00DF51A8" w:rsidRPr="0022334D" w:rsidRDefault="00DF51A8" w:rsidP="00DF51A8">
      <w:pPr>
        <w:pStyle w:val="Titolo1"/>
        <w:rPr>
          <w:lang w:val="en-US"/>
        </w:rPr>
      </w:pPr>
      <w:bookmarkStart w:id="0" w:name="_Toc127287992"/>
      <w:bookmarkStart w:id="1" w:name="_Hlk159492321"/>
      <w:r w:rsidRPr="0022334D">
        <w:rPr>
          <w:lang w:val="en-US"/>
        </w:rPr>
        <w:t>Glossario</w:t>
      </w:r>
      <w:bookmarkEnd w:id="0"/>
    </w:p>
    <w:bookmarkEnd w:id="1"/>
    <w:p w14:paraId="3CFACD98" w14:textId="77777777" w:rsidR="00B32C4B" w:rsidRPr="0022334D" w:rsidRDefault="00B32C4B" w:rsidP="00B32C4B">
      <w:pPr>
        <w:rPr>
          <w:lang w:val="en-US"/>
        </w:rPr>
      </w:pPr>
    </w:p>
    <w:p w14:paraId="7CAE091F" w14:textId="77777777" w:rsidR="00B32C4B" w:rsidRPr="0022334D" w:rsidRDefault="00B32C4B" w:rsidP="00B32C4B">
      <w:pPr>
        <w:rPr>
          <w:b/>
          <w:bCs/>
          <w:lang w:val="en-US"/>
        </w:rPr>
      </w:pPr>
      <w:r w:rsidRPr="0022334D">
        <w:rPr>
          <w:b/>
          <w:bCs/>
          <w:lang w:val="en-US"/>
        </w:rPr>
        <w:t>Alternative Payment Methods (APM)</w:t>
      </w:r>
    </w:p>
    <w:p w14:paraId="3BA0E059" w14:textId="4C7F8F67" w:rsidR="00B32C4B" w:rsidRPr="00B8213B" w:rsidRDefault="00B32C4B" w:rsidP="00B32C4B">
      <w:r w:rsidRPr="00B8213B">
        <w:t>Metodi di pagamento diversi da quelli tradizionali come il contante e le carte fisiche</w:t>
      </w:r>
      <w:r w:rsidR="0022334D">
        <w:t xml:space="preserve"> (</w:t>
      </w:r>
      <w:r w:rsidRPr="00B8213B">
        <w:t>carte di credito, di debito e prepagate</w:t>
      </w:r>
      <w:r w:rsidR="0022334D">
        <w:t>)</w:t>
      </w:r>
      <w:r w:rsidRPr="00B8213B">
        <w:t>. Essi includono i pagamenti effettuati da Wallet, i pagamenti da conto a conto (A2A), il Buy Now Pay Later (BNPL) e le criptovalute.</w:t>
      </w:r>
    </w:p>
    <w:p w14:paraId="25CB9A5D" w14:textId="77777777" w:rsidR="00B32C4B" w:rsidRPr="00B8213B" w:rsidRDefault="00B32C4B" w:rsidP="00B32C4B">
      <w:pPr>
        <w:rPr>
          <w:b/>
          <w:bCs/>
        </w:rPr>
      </w:pPr>
    </w:p>
    <w:p w14:paraId="0EEDA812" w14:textId="77777777" w:rsidR="00B32C4B" w:rsidRPr="00B8213B" w:rsidRDefault="00B32C4B" w:rsidP="00B32C4B">
      <w:pPr>
        <w:rPr>
          <w:b/>
          <w:bCs/>
          <w:lang w:val="en-GB"/>
        </w:rPr>
      </w:pPr>
      <w:r w:rsidRPr="00B8213B">
        <w:rPr>
          <w:b/>
          <w:bCs/>
          <w:lang w:val="en-GB"/>
        </w:rPr>
        <w:t>Buy Now Pay Later (BNPL)</w:t>
      </w:r>
    </w:p>
    <w:p w14:paraId="4E557C8D" w14:textId="2302B68F" w:rsidR="00B32C4B" w:rsidRPr="00B8213B" w:rsidRDefault="00B32C4B" w:rsidP="00B32C4B">
      <w:r w:rsidRPr="00B8213B">
        <w:t>Soluzione di pagamento rateale (o differita) utilizzata per gli acquisti nel commercio al dettaglio (sia online sia fisico). Il BNPL si contraddistingue per una procedura di attivazione della rateizzazione semplificata (rispetto</w:t>
      </w:r>
      <w:r w:rsidR="0082233F">
        <w:t>,</w:t>
      </w:r>
      <w:r w:rsidRPr="00B8213B">
        <w:t xml:space="preserve"> per esempio</w:t>
      </w:r>
      <w:r w:rsidR="0082233F">
        <w:t>,</w:t>
      </w:r>
      <w:r w:rsidRPr="00B8213B">
        <w:t xml:space="preserve"> al credito al consumo)</w:t>
      </w:r>
      <w:r w:rsidR="0082233F">
        <w:t>, per un numero solitamente limitato di rate</w:t>
      </w:r>
      <w:r w:rsidRPr="00B8213B">
        <w:t xml:space="preserve"> </w:t>
      </w:r>
      <w:r w:rsidR="0082233F">
        <w:t xml:space="preserve">(nell’ordine delle 3-5 rate) </w:t>
      </w:r>
      <w:r w:rsidRPr="00B8213B">
        <w:t>e</w:t>
      </w:r>
      <w:r w:rsidR="0082233F">
        <w:t>, nella maggior parte dei casi, nel</w:t>
      </w:r>
      <w:commentRangeStart w:id="2"/>
      <w:r w:rsidRPr="00B8213B">
        <w:t>la mancanza di costi a carico del consumatore.</w:t>
      </w:r>
      <w:commentRangeEnd w:id="2"/>
      <w:r w:rsidR="0022334D">
        <w:rPr>
          <w:rStyle w:val="Rimandocommento"/>
          <w:rFonts w:asciiTheme="minorHAnsi" w:hAnsiTheme="minorHAnsi"/>
        </w:rPr>
        <w:commentReference w:id="2"/>
      </w:r>
    </w:p>
    <w:p w14:paraId="40980809" w14:textId="77777777" w:rsidR="00B32C4B" w:rsidRPr="00B8213B" w:rsidRDefault="00B32C4B" w:rsidP="00B32C4B"/>
    <w:p w14:paraId="237920CE" w14:textId="77777777" w:rsidR="00B32C4B" w:rsidRPr="00B8213B" w:rsidRDefault="00B32C4B" w:rsidP="00B32C4B">
      <w:pPr>
        <w:rPr>
          <w:b/>
          <w:bCs/>
          <w:lang w:val="en-GB"/>
        </w:rPr>
      </w:pPr>
      <w:r w:rsidRPr="00B8213B">
        <w:rPr>
          <w:b/>
          <w:bCs/>
          <w:lang w:val="en-GB"/>
        </w:rPr>
        <w:t>Central Bank Digital Currencies (CBDC)</w:t>
      </w:r>
    </w:p>
    <w:p w14:paraId="78EC4903" w14:textId="77777777" w:rsidR="00B32C4B" w:rsidRPr="00B8213B" w:rsidRDefault="00B32C4B" w:rsidP="00B32C4B">
      <w:r w:rsidRPr="00B8213B">
        <w:t>Rappresentazione digitale di una moneta fiat nazionale, intesa come moneta a corso legale, emessa e gestita da un’istituzione sovrana come la banca centrale. Si tratta quindi di una passività bancaria denominata in un'unità di conto esistente, accessibile a tutti, che funge sia da mezzo di scambio sia da riserva di valore. A differenza delle criptovalute e delle stablecoin, una CBDC è quindi direttamente sostenuta da un governo e rappresenta una passività della banca centrale.</w:t>
      </w:r>
    </w:p>
    <w:p w14:paraId="1BB9F18D" w14:textId="77777777" w:rsidR="00B32C4B" w:rsidRPr="00B8213B" w:rsidRDefault="00B32C4B" w:rsidP="00B32C4B"/>
    <w:p w14:paraId="477472A2" w14:textId="77777777" w:rsidR="00B32C4B" w:rsidRPr="00B8213B" w:rsidRDefault="00B32C4B" w:rsidP="00B32C4B">
      <w:pPr>
        <w:rPr>
          <w:b/>
          <w:bCs/>
        </w:rPr>
      </w:pPr>
      <w:r w:rsidRPr="00B8213B">
        <w:rPr>
          <w:b/>
          <w:bCs/>
        </w:rPr>
        <w:t>EUDI Wallet</w:t>
      </w:r>
    </w:p>
    <w:p w14:paraId="595E8478" w14:textId="7F4B0377" w:rsidR="00B32C4B" w:rsidRPr="00B8213B" w:rsidRDefault="00B32C4B" w:rsidP="00B32C4B">
      <w:r w:rsidRPr="00B8213B">
        <w:t xml:space="preserve">European Digital Identity (EUDI) Wallet, ossia un’app che permetterà a tutti i cittadini dell’Unione Europea di accedere a numerosi servizi in prossimità o a distanza, consentendo all’utente di provare la propria identità </w:t>
      </w:r>
      <w:r w:rsidR="000E0D8F">
        <w:t xml:space="preserve">nei casi </w:t>
      </w:r>
      <w:r w:rsidRPr="00B8213B">
        <w:t>in cui ne è richiesta la verifica. EUDIW permette di conservare la versione dematerializzata dei documenti cartacei certificati (carta d’identità, ma anche - ad esempio - la patente di guida e potenzialmente il passaporto), strumenti di pagamento e altre credenziali non certificate (come i biglietti per i trasporti pubblici).</w:t>
      </w:r>
    </w:p>
    <w:p w14:paraId="1A0CE4B6" w14:textId="77777777" w:rsidR="00B32C4B" w:rsidRPr="00B8213B" w:rsidRDefault="00B32C4B" w:rsidP="00B32C4B"/>
    <w:p w14:paraId="7BAEC9EB" w14:textId="3A2252FC" w:rsidR="00B32C4B" w:rsidRPr="00B8213B" w:rsidRDefault="00B32C4B" w:rsidP="00B32C4B">
      <w:pPr>
        <w:rPr>
          <w:b/>
          <w:bCs/>
        </w:rPr>
      </w:pPr>
      <w:r w:rsidRPr="00B8213B">
        <w:rPr>
          <w:b/>
          <w:bCs/>
        </w:rPr>
        <w:t>Financial Data Access (FIDA)</w:t>
      </w:r>
    </w:p>
    <w:p w14:paraId="7B853839" w14:textId="6C72DC4F" w:rsidR="00B32C4B" w:rsidRPr="00B8213B" w:rsidRDefault="0022334D" w:rsidP="00B32C4B">
      <w:r>
        <w:t>F</w:t>
      </w:r>
      <w:r w:rsidR="00B32C4B" w:rsidRPr="00B8213B">
        <w:t>ramework per l’accesso ai dati finanziari, noto come FIDA</w:t>
      </w:r>
      <w:r>
        <w:t>.</w:t>
      </w:r>
      <w:r w:rsidR="00B32C4B" w:rsidRPr="00B8213B">
        <w:t xml:space="preserve"> </w:t>
      </w:r>
      <w:r>
        <w:t>È</w:t>
      </w:r>
      <w:r w:rsidR="00B32C4B" w:rsidRPr="00B8213B">
        <w:t xml:space="preserve"> una proposta di regolamentazione della Commissione europea per migliorare l’accesso e la condivisione dei dati finanziari all’interno dell’UE. Nello specifico, si propone di semplificare l’utilizzo e garantire una maggiore sicurezza di tali dati.</w:t>
      </w:r>
    </w:p>
    <w:p w14:paraId="40CAECA6" w14:textId="77777777" w:rsidR="00B32C4B" w:rsidRPr="00B8213B" w:rsidRDefault="00B32C4B" w:rsidP="00B32C4B"/>
    <w:p w14:paraId="43E58594" w14:textId="77777777" w:rsidR="00B32C4B" w:rsidRPr="00B8213B" w:rsidRDefault="00B32C4B" w:rsidP="00B32C4B">
      <w:pPr>
        <w:rPr>
          <w:b/>
          <w:bCs/>
        </w:rPr>
      </w:pPr>
      <w:r w:rsidRPr="00B8213B">
        <w:rPr>
          <w:b/>
          <w:bCs/>
        </w:rPr>
        <w:t>Intelligenza Artificiale</w:t>
      </w:r>
    </w:p>
    <w:p w14:paraId="57426079" w14:textId="74E45F44" w:rsidR="00B32C4B" w:rsidRPr="00B8213B" w:rsidRDefault="0022334D" w:rsidP="00B32C4B">
      <w:r>
        <w:t>R</w:t>
      </w:r>
      <w:r w:rsidR="00B32C4B" w:rsidRPr="00B8213B">
        <w:t>amo della computer science che studia lo sviluppo di sistemi Hardware e Software dotati di specifiche capacità tipiche dell’essere umano (interazione con l’ambiente, apprendimento e adattamento, ragionamento e pianificazione), capaci di perseguire autonomamente una finalità definita.</w:t>
      </w:r>
    </w:p>
    <w:p w14:paraId="287BD667" w14:textId="77777777" w:rsidR="00B32C4B" w:rsidRPr="00B8213B" w:rsidRDefault="00B32C4B" w:rsidP="00B32C4B"/>
    <w:p w14:paraId="31DCFC18" w14:textId="77777777" w:rsidR="00B32C4B" w:rsidRPr="00B8213B" w:rsidRDefault="00B32C4B" w:rsidP="00B32C4B">
      <w:pPr>
        <w:rPr>
          <w:b/>
          <w:bCs/>
        </w:rPr>
      </w:pPr>
      <w:r w:rsidRPr="00B8213B">
        <w:rPr>
          <w:b/>
          <w:bCs/>
        </w:rPr>
        <w:t>Internet of Things (IoT)</w:t>
      </w:r>
    </w:p>
    <w:p w14:paraId="05BFF3EC" w14:textId="01696575" w:rsidR="00B32C4B" w:rsidRPr="00B8213B" w:rsidRDefault="0022334D" w:rsidP="00B32C4B">
      <w:r>
        <w:t>S</w:t>
      </w:r>
      <w:r w:rsidR="00B32C4B" w:rsidRPr="00B8213B">
        <w:t>viluppo tecnologico in base al quale, attraverso la rete internet, ogni oggetto acquista una sua identità nel mondo digitale</w:t>
      </w:r>
      <w:r w:rsidR="00CE1714">
        <w:t xml:space="preserve">. Gli oggetti connessi, in questo modo, vengono abilitati a </w:t>
      </w:r>
      <w:r w:rsidR="00B32C4B" w:rsidRPr="00B8213B">
        <w:t>scambiare, raccogliere e/o elaborare informazioni.</w:t>
      </w:r>
    </w:p>
    <w:p w14:paraId="2FFD57FD" w14:textId="77777777" w:rsidR="00B32C4B" w:rsidRPr="00B8213B" w:rsidRDefault="00B32C4B" w:rsidP="00B32C4B">
      <w:pPr>
        <w:rPr>
          <w:b/>
          <w:bCs/>
        </w:rPr>
      </w:pPr>
    </w:p>
    <w:p w14:paraId="252541AE" w14:textId="77777777" w:rsidR="00B32C4B" w:rsidRPr="00B8213B" w:rsidRDefault="00B32C4B" w:rsidP="00B32C4B">
      <w:pPr>
        <w:rPr>
          <w:b/>
          <w:bCs/>
          <w:lang w:val="en-GB"/>
        </w:rPr>
      </w:pPr>
      <w:r w:rsidRPr="00B8213B">
        <w:rPr>
          <w:b/>
          <w:bCs/>
          <w:lang w:val="en-GB"/>
        </w:rPr>
        <w:t>Markets in Crypto-Assets regulation (MiCAr)</w:t>
      </w:r>
    </w:p>
    <w:p w14:paraId="21556F9A" w14:textId="3DBB5AE1" w:rsidR="00B32C4B" w:rsidRPr="00B8213B" w:rsidRDefault="00B32C4B" w:rsidP="00B32C4B">
      <w:r w:rsidRPr="00B8213B">
        <w:t>Regolamento sui Mercati delle Cripto-Attività</w:t>
      </w:r>
      <w:r w:rsidR="0022334D">
        <w:t xml:space="preserve">, ossia </w:t>
      </w:r>
      <w:r w:rsidRPr="00B8213B">
        <w:t>un disegno di legge dell’Unione Europea, pubblicato a giugno 2023 e che entrerà in vigore a dicembre 2024, che mira a regolamentare il mercato delle criptovalute, comprese le stablecoin.</w:t>
      </w:r>
    </w:p>
    <w:p w14:paraId="65A7340B" w14:textId="77777777" w:rsidR="00B32C4B" w:rsidRPr="00B8213B" w:rsidRDefault="00B32C4B" w:rsidP="00B32C4B"/>
    <w:p w14:paraId="5A8486AD" w14:textId="77777777" w:rsidR="00B32C4B" w:rsidRPr="00B8213B" w:rsidRDefault="00B32C4B" w:rsidP="00B32C4B">
      <w:pPr>
        <w:rPr>
          <w:b/>
          <w:bCs/>
          <w:lang w:val="en-GB"/>
        </w:rPr>
      </w:pPr>
      <w:r w:rsidRPr="00B8213B">
        <w:rPr>
          <w:b/>
          <w:bCs/>
          <w:lang w:val="en-GB"/>
        </w:rPr>
        <w:t>Payments Package (PSR e PSD3)</w:t>
      </w:r>
    </w:p>
    <w:p w14:paraId="292F7E47" w14:textId="3973E677" w:rsidR="00B32C4B" w:rsidRPr="00B8213B" w:rsidRDefault="0022334D" w:rsidP="00B32C4B">
      <w:r>
        <w:lastRenderedPageBreak/>
        <w:t>P</w:t>
      </w:r>
      <w:r w:rsidR="00B32C4B" w:rsidRPr="00B8213B">
        <w:t>acchetto di norme contenente la terza Direttiva sui Sistemi di Pagamento (PSD3) e il Regolamento sui Servizi di Pagamento (PSR). In particolare, la PSD3 mira a modernizzare ulteriormente la PSD2 nell’ambito dell’open banking e la condivisione di dati bancari dei consumatori con terze parti, mentre la PSR mira a fornire un quadro normativo più dettagliato per il settore dei pagamenti, in termini di trasparenza, sicurezza e accessibilità.</w:t>
      </w:r>
    </w:p>
    <w:p w14:paraId="1E0C450F" w14:textId="77777777" w:rsidR="00B32C4B" w:rsidRPr="00B8213B" w:rsidRDefault="00B32C4B" w:rsidP="00B32C4B"/>
    <w:p w14:paraId="57C20D11" w14:textId="77777777" w:rsidR="00B32C4B" w:rsidRPr="00B8213B" w:rsidRDefault="00B32C4B" w:rsidP="00B32C4B">
      <w:pPr>
        <w:rPr>
          <w:b/>
          <w:bCs/>
        </w:rPr>
      </w:pPr>
      <w:r w:rsidRPr="00B8213B">
        <w:rPr>
          <w:b/>
          <w:bCs/>
        </w:rPr>
        <w:t xml:space="preserve">Prestatori di servizi di pagamento (PSP) </w:t>
      </w:r>
    </w:p>
    <w:p w14:paraId="4A7C1CFE" w14:textId="77777777" w:rsidR="00B32C4B" w:rsidRPr="00B8213B" w:rsidRDefault="00B32C4B" w:rsidP="00B32C4B">
      <w:r w:rsidRPr="00B8213B">
        <w:t xml:space="preserve">Soggetti quali istituzioni finanziarie autorizzate a elaborare transazioni di denaro tra i commercianti e i loro clienti. </w:t>
      </w:r>
    </w:p>
    <w:p w14:paraId="1671119F" w14:textId="77777777" w:rsidR="00B32C4B" w:rsidRPr="00B8213B" w:rsidRDefault="00B32C4B" w:rsidP="00B32C4B"/>
    <w:p w14:paraId="0ABDAFF8" w14:textId="77777777" w:rsidR="00B32C4B" w:rsidRPr="00B8213B" w:rsidRDefault="00B32C4B" w:rsidP="00B32C4B">
      <w:pPr>
        <w:rPr>
          <w:b/>
          <w:bCs/>
        </w:rPr>
      </w:pPr>
      <w:r w:rsidRPr="00B8213B">
        <w:rPr>
          <w:b/>
          <w:bCs/>
        </w:rPr>
        <w:t>Regolamento eIDAS</w:t>
      </w:r>
    </w:p>
    <w:p w14:paraId="2A148135" w14:textId="285DB9C8" w:rsidR="00B32C4B" w:rsidRPr="00B8213B" w:rsidRDefault="0022334D" w:rsidP="00B32C4B">
      <w:r>
        <w:t>R</w:t>
      </w:r>
      <w:r w:rsidR="00B32C4B" w:rsidRPr="00B8213B">
        <w:t xml:space="preserve">egolamento </w:t>
      </w:r>
      <w:r>
        <w:t xml:space="preserve">che </w:t>
      </w:r>
      <w:r w:rsidR="00B32C4B" w:rsidRPr="00B8213B">
        <w:t>costituisce la nuova versione di riferimento in materia di identificazione elettronica e servizi fiduciari per le transazioni elettroniche. Il Regolamento eIDAS era stato emanato il 23 luglio 2014 e ha piena efficacia dal 1° luglio del 2016 all’interno di tutti gli Stati appartenenti all’Unione Europea. A giugno 2021, la Commissione europea ha reso nota una proposta di revisione al Regolamento eIDAS (electronic IDentification Authentication and Signature – n. 910/2014), insieme a un documento di raccomandazioni per lo sviluppo di un digital wallet paneuropeo (EUDI Wallet).</w:t>
      </w:r>
    </w:p>
    <w:p w14:paraId="6FAD85FF" w14:textId="77777777" w:rsidR="00B32C4B" w:rsidRPr="00B8213B" w:rsidRDefault="00B32C4B" w:rsidP="00B32C4B"/>
    <w:p w14:paraId="6EFA8D3B" w14:textId="77777777" w:rsidR="00B32C4B" w:rsidRPr="00B8213B" w:rsidRDefault="00B32C4B" w:rsidP="00B32C4B">
      <w:pPr>
        <w:rPr>
          <w:b/>
          <w:bCs/>
        </w:rPr>
      </w:pPr>
      <w:r w:rsidRPr="00B8213B">
        <w:rPr>
          <w:b/>
          <w:bCs/>
        </w:rPr>
        <w:t>Software POS</w:t>
      </w:r>
    </w:p>
    <w:p w14:paraId="1D090B8B" w14:textId="1588FFF0" w:rsidR="00B32C4B" w:rsidRPr="00B8213B" w:rsidRDefault="0022334D" w:rsidP="00B32C4B">
      <w:r>
        <w:t>T</w:t>
      </w:r>
      <w:r w:rsidR="00B32C4B" w:rsidRPr="00B8213B">
        <w:t>ipologia di terminale di accettazione dei pagamenti, che permette ai commercianti – senza alcun dispositivo aggiuntivo – di accettare pagamenti contactless direttamente attraverso smartphone o tablet, se dotati di antenna NFC, permettendo la connessione in modalità wireless tra i due dispositivi.</w:t>
      </w:r>
    </w:p>
    <w:p w14:paraId="7F0C97C1" w14:textId="77777777" w:rsidR="00B32C4B" w:rsidRPr="00B8213B" w:rsidRDefault="00B32C4B" w:rsidP="00B32C4B"/>
    <w:p w14:paraId="2126B329" w14:textId="77777777" w:rsidR="00B32C4B" w:rsidRPr="00B8213B" w:rsidRDefault="00B32C4B" w:rsidP="00B32C4B">
      <w:pPr>
        <w:rPr>
          <w:b/>
          <w:bCs/>
        </w:rPr>
      </w:pPr>
      <w:r w:rsidRPr="00B8213B">
        <w:rPr>
          <w:b/>
          <w:bCs/>
        </w:rPr>
        <w:t>Stablecoin</w:t>
      </w:r>
    </w:p>
    <w:p w14:paraId="64B40309" w14:textId="5CB238C2" w:rsidR="00B32C4B" w:rsidRDefault="0022334D" w:rsidP="00B32C4B">
      <w:r>
        <w:t>V</w:t>
      </w:r>
      <w:r w:rsidR="00B32C4B" w:rsidRPr="00B8213B">
        <w:t>alute digitali il cui valore è legato a quello di un asset di riserva stabile e che quindi riducono le fluttuazioni di valore a cui generalmente sono soggette le criptovalute, come per esempio una valuta fiat nazionale oppure un bene esterno.</w:t>
      </w:r>
      <w:r w:rsidR="00B32C4B">
        <w:t xml:space="preserve">  </w:t>
      </w:r>
    </w:p>
    <w:p w14:paraId="724F85A3" w14:textId="77777777" w:rsidR="003160C5" w:rsidRPr="00390F04" w:rsidRDefault="003160C5" w:rsidP="00DF51A8"/>
    <w:sectPr w:rsidR="003160C5" w:rsidRPr="00390F04">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iulia Spinelli" w:date="2024-02-29T17:21:00Z" w:initials="GS">
    <w:p w14:paraId="5FAE1699" w14:textId="77777777" w:rsidR="0022334D" w:rsidRDefault="0022334D" w:rsidP="0022334D">
      <w:r>
        <w:rPr>
          <w:rStyle w:val="Rimandocommento"/>
        </w:rPr>
        <w:annotationRef/>
      </w:r>
      <w:r>
        <w:rPr>
          <w:rFonts w:asciiTheme="minorHAnsi" w:hAnsiTheme="minorHAnsi"/>
          <w:color w:val="000000"/>
        </w:rPr>
        <w:t>Sempre?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AE16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323B54" w16cex:dateUtc="2024-02-29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E1699" w16cid:durableId="44323B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2211"/>
    <w:multiLevelType w:val="hybridMultilevel"/>
    <w:tmpl w:val="1D92E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1795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Spinelli">
    <w15:presenceInfo w15:providerId="AD" w15:userId="S::10754213@polimi.it::22a06dff-86eb-4e25-8e70-602621be8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19"/>
    <w:rsid w:val="000521DE"/>
    <w:rsid w:val="000E0D8F"/>
    <w:rsid w:val="000F645E"/>
    <w:rsid w:val="00187AAA"/>
    <w:rsid w:val="0022334D"/>
    <w:rsid w:val="002314BA"/>
    <w:rsid w:val="00284122"/>
    <w:rsid w:val="002905F7"/>
    <w:rsid w:val="002B1BC7"/>
    <w:rsid w:val="002D092A"/>
    <w:rsid w:val="002E4B3D"/>
    <w:rsid w:val="002F6E1C"/>
    <w:rsid w:val="003160C5"/>
    <w:rsid w:val="00334C71"/>
    <w:rsid w:val="00352AFD"/>
    <w:rsid w:val="00390F04"/>
    <w:rsid w:val="004C1003"/>
    <w:rsid w:val="004C7047"/>
    <w:rsid w:val="007B4D9B"/>
    <w:rsid w:val="007E147C"/>
    <w:rsid w:val="008000B6"/>
    <w:rsid w:val="00817DB9"/>
    <w:rsid w:val="0082233F"/>
    <w:rsid w:val="008705F7"/>
    <w:rsid w:val="008A0CAA"/>
    <w:rsid w:val="008D0571"/>
    <w:rsid w:val="00947E57"/>
    <w:rsid w:val="009642DE"/>
    <w:rsid w:val="0096518F"/>
    <w:rsid w:val="00981332"/>
    <w:rsid w:val="009833A2"/>
    <w:rsid w:val="009B6B19"/>
    <w:rsid w:val="009F6292"/>
    <w:rsid w:val="00A832E2"/>
    <w:rsid w:val="00AC5260"/>
    <w:rsid w:val="00B32C4B"/>
    <w:rsid w:val="00B772F3"/>
    <w:rsid w:val="00B8213B"/>
    <w:rsid w:val="00C25A15"/>
    <w:rsid w:val="00C62D4B"/>
    <w:rsid w:val="00C77F04"/>
    <w:rsid w:val="00CA68FE"/>
    <w:rsid w:val="00CC6108"/>
    <w:rsid w:val="00CE1714"/>
    <w:rsid w:val="00CE5829"/>
    <w:rsid w:val="00D205AF"/>
    <w:rsid w:val="00D446FB"/>
    <w:rsid w:val="00D95E66"/>
    <w:rsid w:val="00DB5BE6"/>
    <w:rsid w:val="00DC1D05"/>
    <w:rsid w:val="00DD57FB"/>
    <w:rsid w:val="00DF51A8"/>
    <w:rsid w:val="00F013BD"/>
    <w:rsid w:val="00F340DD"/>
    <w:rsid w:val="00F42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A856"/>
  <w15:chartTrackingRefBased/>
  <w15:docId w15:val="{02F3303D-1741-5246-B088-1DBDD479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51A8"/>
    <w:pPr>
      <w:spacing w:line="276" w:lineRule="auto"/>
    </w:pPr>
    <w:rPr>
      <w:rFonts w:ascii="Roboto" w:hAnsi="Roboto"/>
      <w:sz w:val="20"/>
      <w:szCs w:val="20"/>
    </w:rPr>
  </w:style>
  <w:style w:type="paragraph" w:styleId="Titolo1">
    <w:name w:val="heading 1"/>
    <w:basedOn w:val="Normale"/>
    <w:next w:val="Normale"/>
    <w:link w:val="Titolo1Carattere"/>
    <w:uiPriority w:val="9"/>
    <w:qFormat/>
    <w:rsid w:val="00DF51A8"/>
    <w:pPr>
      <w:keepNext/>
      <w:keepLines/>
      <w:spacing w:before="240"/>
      <w:outlineLvl w:val="0"/>
    </w:pPr>
    <w:rPr>
      <w:rFonts w:ascii="Montserrat" w:eastAsiaTheme="majorEastAsia" w:hAnsi="Montserrat" w:cstheme="majorBidi"/>
      <w:b/>
      <w:bCs/>
      <w:color w:val="ED7D31" w:themeColor="accent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33A2"/>
    <w:pPr>
      <w:spacing w:line="240" w:lineRule="auto"/>
      <w:ind w:left="720"/>
      <w:contextualSpacing/>
    </w:pPr>
    <w:rPr>
      <w:rFonts w:asciiTheme="minorHAnsi" w:hAnsiTheme="minorHAnsi"/>
      <w:sz w:val="24"/>
      <w:szCs w:val="24"/>
    </w:rPr>
  </w:style>
  <w:style w:type="character" w:styleId="Rimandocommento">
    <w:name w:val="annotation reference"/>
    <w:basedOn w:val="Carpredefinitoparagrafo"/>
    <w:uiPriority w:val="99"/>
    <w:semiHidden/>
    <w:unhideWhenUsed/>
    <w:rsid w:val="00DB5BE6"/>
    <w:rPr>
      <w:sz w:val="16"/>
      <w:szCs w:val="16"/>
    </w:rPr>
  </w:style>
  <w:style w:type="paragraph" w:styleId="Testocommento">
    <w:name w:val="annotation text"/>
    <w:basedOn w:val="Normale"/>
    <w:link w:val="TestocommentoCarattere"/>
    <w:uiPriority w:val="99"/>
    <w:semiHidden/>
    <w:unhideWhenUsed/>
    <w:rsid w:val="00DB5BE6"/>
    <w:pPr>
      <w:spacing w:line="240" w:lineRule="auto"/>
    </w:pPr>
    <w:rPr>
      <w:rFonts w:asciiTheme="minorHAnsi" w:hAnsiTheme="minorHAnsi"/>
    </w:rPr>
  </w:style>
  <w:style w:type="character" w:customStyle="1" w:styleId="TestocommentoCarattere">
    <w:name w:val="Testo commento Carattere"/>
    <w:basedOn w:val="Carpredefinitoparagrafo"/>
    <w:link w:val="Testocommento"/>
    <w:uiPriority w:val="99"/>
    <w:semiHidden/>
    <w:rsid w:val="00DB5BE6"/>
    <w:rPr>
      <w:sz w:val="20"/>
      <w:szCs w:val="20"/>
    </w:rPr>
  </w:style>
  <w:style w:type="paragraph" w:styleId="Soggettocommento">
    <w:name w:val="annotation subject"/>
    <w:basedOn w:val="Testocommento"/>
    <w:next w:val="Testocommento"/>
    <w:link w:val="SoggettocommentoCarattere"/>
    <w:uiPriority w:val="99"/>
    <w:semiHidden/>
    <w:unhideWhenUsed/>
    <w:rsid w:val="00DB5BE6"/>
    <w:rPr>
      <w:b/>
      <w:bCs/>
    </w:rPr>
  </w:style>
  <w:style w:type="character" w:customStyle="1" w:styleId="SoggettocommentoCarattere">
    <w:name w:val="Soggetto commento Carattere"/>
    <w:basedOn w:val="TestocommentoCarattere"/>
    <w:link w:val="Soggettocommento"/>
    <w:uiPriority w:val="99"/>
    <w:semiHidden/>
    <w:rsid w:val="00DB5BE6"/>
    <w:rPr>
      <w:b/>
      <w:bCs/>
      <w:sz w:val="20"/>
      <w:szCs w:val="20"/>
    </w:rPr>
  </w:style>
  <w:style w:type="paragraph" w:styleId="Testofumetto">
    <w:name w:val="Balloon Text"/>
    <w:basedOn w:val="Normale"/>
    <w:link w:val="TestofumettoCarattere"/>
    <w:uiPriority w:val="99"/>
    <w:semiHidden/>
    <w:unhideWhenUsed/>
    <w:rsid w:val="002F6E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6E1C"/>
    <w:rPr>
      <w:rFonts w:ascii="Segoe UI" w:hAnsi="Segoe UI" w:cs="Segoe UI"/>
      <w:sz w:val="18"/>
      <w:szCs w:val="18"/>
    </w:rPr>
  </w:style>
  <w:style w:type="character" w:customStyle="1" w:styleId="Titolo1Carattere">
    <w:name w:val="Titolo 1 Carattere"/>
    <w:basedOn w:val="Carpredefinitoparagrafo"/>
    <w:link w:val="Titolo1"/>
    <w:uiPriority w:val="9"/>
    <w:rsid w:val="00DF51A8"/>
    <w:rPr>
      <w:rFonts w:ascii="Montserrat" w:eastAsiaTheme="majorEastAsia" w:hAnsi="Montserrat" w:cstheme="majorBidi"/>
      <w:b/>
      <w:bCs/>
      <w:color w:val="ED7D31" w:themeColor="accent2"/>
      <w:sz w:val="28"/>
      <w:szCs w:val="28"/>
    </w:rPr>
  </w:style>
  <w:style w:type="paragraph" w:styleId="Revisione">
    <w:name w:val="Revision"/>
    <w:hidden/>
    <w:uiPriority w:val="99"/>
    <w:semiHidden/>
    <w:rsid w:val="0022334D"/>
    <w:rPr>
      <w:rFonts w:ascii="Roboto" w:hAnsi="Robo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18">
      <w:bodyDiv w:val="1"/>
      <w:marLeft w:val="0"/>
      <w:marRight w:val="0"/>
      <w:marTop w:val="0"/>
      <w:marBottom w:val="0"/>
      <w:divBdr>
        <w:top w:val="none" w:sz="0" w:space="0" w:color="auto"/>
        <w:left w:val="none" w:sz="0" w:space="0" w:color="auto"/>
        <w:bottom w:val="none" w:sz="0" w:space="0" w:color="auto"/>
        <w:right w:val="none" w:sz="0" w:space="0" w:color="auto"/>
      </w:divBdr>
    </w:div>
    <w:div w:id="1820489018">
      <w:bodyDiv w:val="1"/>
      <w:marLeft w:val="0"/>
      <w:marRight w:val="0"/>
      <w:marTop w:val="0"/>
      <w:marBottom w:val="0"/>
      <w:divBdr>
        <w:top w:val="none" w:sz="0" w:space="0" w:color="auto"/>
        <w:left w:val="none" w:sz="0" w:space="0" w:color="auto"/>
        <w:bottom w:val="none" w:sz="0" w:space="0" w:color="auto"/>
        <w:right w:val="none" w:sz="0" w:space="0" w:color="auto"/>
      </w:divBdr>
      <w:divsChild>
        <w:div w:id="4947599">
          <w:marLeft w:val="0"/>
          <w:marRight w:val="0"/>
          <w:marTop w:val="0"/>
          <w:marBottom w:val="0"/>
          <w:divBdr>
            <w:top w:val="none" w:sz="0" w:space="0" w:color="auto"/>
            <w:left w:val="none" w:sz="0" w:space="0" w:color="auto"/>
            <w:bottom w:val="none" w:sz="0" w:space="0" w:color="auto"/>
            <w:right w:val="none" w:sz="0" w:space="0" w:color="auto"/>
          </w:divBdr>
          <w:divsChild>
            <w:div w:id="162162125">
              <w:marLeft w:val="0"/>
              <w:marRight w:val="0"/>
              <w:marTop w:val="0"/>
              <w:marBottom w:val="0"/>
              <w:divBdr>
                <w:top w:val="none" w:sz="0" w:space="0" w:color="auto"/>
                <w:left w:val="none" w:sz="0" w:space="0" w:color="auto"/>
                <w:bottom w:val="none" w:sz="0" w:space="0" w:color="auto"/>
                <w:right w:val="none" w:sz="0" w:space="0" w:color="auto"/>
              </w:divBdr>
              <w:divsChild>
                <w:div w:id="1455170596">
                  <w:marLeft w:val="0"/>
                  <w:marRight w:val="0"/>
                  <w:marTop w:val="0"/>
                  <w:marBottom w:val="0"/>
                  <w:divBdr>
                    <w:top w:val="none" w:sz="0" w:space="0" w:color="auto"/>
                    <w:left w:val="none" w:sz="0" w:space="0" w:color="auto"/>
                    <w:bottom w:val="none" w:sz="0" w:space="0" w:color="auto"/>
                    <w:right w:val="none" w:sz="0" w:space="0" w:color="auto"/>
                  </w:divBdr>
                  <w:divsChild>
                    <w:div w:id="711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Spinelli</dc:creator>
  <cp:keywords/>
  <dc:description/>
  <cp:lastModifiedBy>Ivano Asaro</cp:lastModifiedBy>
  <cp:revision>3</cp:revision>
  <dcterms:created xsi:type="dcterms:W3CDTF">2024-03-07T17:16:00Z</dcterms:created>
  <dcterms:modified xsi:type="dcterms:W3CDTF">2024-03-07T17:18:00Z</dcterms:modified>
</cp:coreProperties>
</file>